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90" w:rsidRDefault="00642B59" w:rsidP="00642B59">
      <w:pPr>
        <w:spacing w:beforeLines="150" w:afterLines="50" w:line="400" w:lineRule="exact"/>
        <w:jc w:val="center"/>
        <w:rPr>
          <w:rFonts w:ascii="宋体" w:eastAsia="宋体" w:hAnsi="宋体"/>
          <w:b/>
          <w:bCs/>
          <w:sz w:val="28"/>
          <w:szCs w:val="28"/>
        </w:rPr>
      </w:pPr>
      <w:r>
        <w:rPr>
          <w:rFonts w:ascii="宋体" w:eastAsia="宋体" w:hAnsi="宋体" w:hint="eastAsia"/>
          <w:b/>
          <w:bCs/>
          <w:sz w:val="28"/>
          <w:szCs w:val="28"/>
        </w:rPr>
        <w:t>第四批后备人才职业化培训</w:t>
      </w:r>
      <w:r>
        <w:rPr>
          <w:rFonts w:ascii="宋体" w:eastAsia="宋体" w:hAnsi="宋体" w:hint="eastAsia"/>
          <w:b/>
          <w:bCs/>
          <w:sz w:val="28"/>
          <w:szCs w:val="28"/>
        </w:rPr>
        <w:t>-</w:t>
      </w:r>
      <w:r>
        <w:rPr>
          <w:rFonts w:ascii="宋体" w:eastAsia="宋体" w:hAnsi="宋体" w:hint="eastAsia"/>
          <w:b/>
          <w:bCs/>
          <w:sz w:val="28"/>
          <w:szCs w:val="28"/>
        </w:rPr>
        <w:t>采购需求</w:t>
      </w:r>
    </w:p>
    <w:p w:rsidR="00E06F90" w:rsidRDefault="00642B59" w:rsidP="00642B59">
      <w:pPr>
        <w:spacing w:beforeLines="150" w:afterLines="50" w:line="400" w:lineRule="exact"/>
        <w:rPr>
          <w:rFonts w:ascii="宋体" w:eastAsia="宋体" w:hAnsi="宋体"/>
          <w:b/>
          <w:bCs/>
          <w:sz w:val="21"/>
          <w:szCs w:val="21"/>
        </w:rPr>
      </w:pPr>
      <w:r>
        <w:rPr>
          <w:rFonts w:ascii="宋体" w:eastAsia="宋体" w:hAnsi="宋体" w:hint="eastAsia"/>
          <w:b/>
          <w:bCs/>
          <w:sz w:val="21"/>
          <w:szCs w:val="21"/>
        </w:rPr>
        <w:t>采购方式</w:t>
      </w:r>
      <w:r>
        <w:rPr>
          <w:rFonts w:ascii="宋体" w:eastAsia="宋体" w:hAnsi="宋体" w:hint="eastAsia"/>
          <w:b/>
          <w:bCs/>
          <w:sz w:val="21"/>
          <w:szCs w:val="21"/>
        </w:rPr>
        <w:t>:</w:t>
      </w:r>
      <w:r>
        <w:rPr>
          <w:rFonts w:ascii="宋体" w:eastAsia="宋体" w:hAnsi="宋体" w:hint="eastAsia"/>
          <w:b/>
          <w:bCs/>
          <w:sz w:val="21"/>
          <w:szCs w:val="21"/>
        </w:rPr>
        <w:t>竞争性谈判</w:t>
      </w:r>
      <w:r>
        <w:rPr>
          <w:rFonts w:ascii="宋体" w:eastAsia="宋体" w:hAnsi="宋体" w:hint="eastAsia"/>
          <w:b/>
          <w:bCs/>
          <w:sz w:val="21"/>
          <w:szCs w:val="21"/>
        </w:rPr>
        <w:t xml:space="preserve">  </w:t>
      </w:r>
    </w:p>
    <w:p w:rsidR="00E06F90" w:rsidRDefault="00642B59" w:rsidP="00642B59">
      <w:pPr>
        <w:spacing w:beforeLines="150" w:afterLines="50" w:line="400" w:lineRule="exact"/>
        <w:rPr>
          <w:rFonts w:ascii="宋体" w:eastAsia="宋体" w:hAnsi="宋体"/>
          <w:b/>
          <w:bCs/>
          <w:sz w:val="21"/>
          <w:szCs w:val="21"/>
        </w:rPr>
      </w:pPr>
      <w:r>
        <w:rPr>
          <w:rFonts w:ascii="宋体" w:eastAsia="宋体" w:hAnsi="宋体" w:hint="eastAsia"/>
          <w:b/>
          <w:bCs/>
          <w:sz w:val="21"/>
          <w:szCs w:val="21"/>
        </w:rPr>
        <w:t>预算金额：人民币壹佰伍拾万元整（</w:t>
      </w:r>
      <w:r>
        <w:rPr>
          <w:rFonts w:ascii="宋体" w:eastAsia="宋体" w:hAnsi="宋体" w:hint="eastAsia"/>
          <w:b/>
          <w:bCs/>
          <w:sz w:val="21"/>
          <w:szCs w:val="21"/>
        </w:rPr>
        <w:t>¥1,500,000.00</w:t>
      </w:r>
      <w:r>
        <w:rPr>
          <w:rFonts w:ascii="宋体" w:eastAsia="宋体" w:hAnsi="宋体" w:hint="eastAsia"/>
          <w:b/>
          <w:bCs/>
          <w:sz w:val="21"/>
          <w:szCs w:val="21"/>
        </w:rPr>
        <w:t>元）</w:t>
      </w:r>
    </w:p>
    <w:p w:rsidR="00E06F90" w:rsidRDefault="00642B59" w:rsidP="00642B59">
      <w:pPr>
        <w:spacing w:beforeLines="150" w:afterLines="50" w:line="400" w:lineRule="exact"/>
        <w:rPr>
          <w:rFonts w:ascii="宋体" w:eastAsia="宋体" w:hAnsi="宋体"/>
          <w:b/>
          <w:bCs/>
          <w:sz w:val="21"/>
          <w:szCs w:val="21"/>
        </w:rPr>
      </w:pPr>
      <w:r>
        <w:rPr>
          <w:rFonts w:ascii="宋体" w:eastAsia="宋体" w:hAnsi="宋体" w:hint="eastAsia"/>
          <w:b/>
          <w:bCs/>
          <w:sz w:val="21"/>
          <w:szCs w:val="21"/>
        </w:rPr>
        <w:t>一、申请人的</w:t>
      </w:r>
      <w:r>
        <w:rPr>
          <w:rFonts w:ascii="宋体" w:eastAsia="宋体" w:hAnsi="宋体"/>
          <w:b/>
          <w:bCs/>
          <w:sz w:val="21"/>
          <w:szCs w:val="21"/>
        </w:rPr>
        <w:t>资格要求</w:t>
      </w:r>
    </w:p>
    <w:p w:rsidR="00E06F90" w:rsidRDefault="00642B59" w:rsidP="00642B59">
      <w:pPr>
        <w:spacing w:beforeLines="25" w:afterLines="25" w:line="400" w:lineRule="exact"/>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、供应商须为采购单位邀请的供应商。</w:t>
      </w:r>
    </w:p>
    <w:p w:rsidR="00E06F90" w:rsidRDefault="00642B59" w:rsidP="00642B59">
      <w:pPr>
        <w:spacing w:beforeLines="25" w:afterLines="25" w:line="400" w:lineRule="exact"/>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、供应商必须是在中华人民共和国境内注册的具有独立承担民事责任能力的法人或其他组织。提供营业执照副本扫描件（或事业单位法人证书，或社会团体法人登记证书，或执业许可证等证明文件。）。</w:t>
      </w:r>
    </w:p>
    <w:p w:rsidR="00E06F90" w:rsidRDefault="00642B59" w:rsidP="00642B59">
      <w:pPr>
        <w:spacing w:beforeLines="25" w:afterLines="25" w:line="400" w:lineRule="exact"/>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、参与本项目投标前三年内，在经营活动中没有重大违法记录和参与本项目政府采购活动时不存在被政府主管部门禁止参与政府采购活动且在有效期内的情况（由供应商在《政府采购应答及履约承诺函》中</w:t>
      </w:r>
      <w:proofErr w:type="gramStart"/>
      <w:r>
        <w:rPr>
          <w:rFonts w:ascii="宋体" w:eastAsia="宋体" w:hAnsi="宋体" w:hint="eastAsia"/>
          <w:sz w:val="21"/>
          <w:szCs w:val="21"/>
        </w:rPr>
        <w:t>作出</w:t>
      </w:r>
      <w:proofErr w:type="gramEnd"/>
      <w:r>
        <w:rPr>
          <w:rFonts w:ascii="宋体" w:eastAsia="宋体" w:hAnsi="宋体" w:hint="eastAsia"/>
          <w:sz w:val="21"/>
          <w:szCs w:val="21"/>
        </w:rPr>
        <w:t>声明）。</w:t>
      </w:r>
    </w:p>
    <w:p w:rsidR="00E06F90" w:rsidRDefault="00642B59" w:rsidP="00642B59">
      <w:pPr>
        <w:spacing w:beforeLines="25" w:afterLines="25" w:line="400" w:lineRule="exact"/>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、具备《中华人民共和国政府采购法》第二十二条规定的条件（由谈判供应商在《政府采购应答及履约承诺函》中</w:t>
      </w:r>
      <w:proofErr w:type="gramStart"/>
      <w:r>
        <w:rPr>
          <w:rFonts w:ascii="宋体" w:eastAsia="宋体" w:hAnsi="宋体" w:hint="eastAsia"/>
          <w:sz w:val="21"/>
          <w:szCs w:val="21"/>
        </w:rPr>
        <w:t>作出</w:t>
      </w:r>
      <w:proofErr w:type="gramEnd"/>
      <w:r>
        <w:rPr>
          <w:rFonts w:ascii="宋体" w:eastAsia="宋体" w:hAnsi="宋体" w:hint="eastAsia"/>
          <w:sz w:val="21"/>
          <w:szCs w:val="21"/>
        </w:rPr>
        <w:t>声明）。</w:t>
      </w:r>
    </w:p>
    <w:p w:rsidR="00E06F90" w:rsidRDefault="00642B59" w:rsidP="00642B59">
      <w:pPr>
        <w:spacing w:beforeLines="25" w:afterLines="25" w:line="400" w:lineRule="exact"/>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谈判截止时间前，供应商未被列入失信被执行人、重大税收违法案件当事人名单、政府采购严重违法失信行为记录名单（由供应商在《政府采购应答及履约承诺函》中</w:t>
      </w:r>
      <w:proofErr w:type="gramStart"/>
      <w:r>
        <w:rPr>
          <w:rFonts w:ascii="宋体" w:eastAsia="宋体" w:hAnsi="宋体" w:hint="eastAsia"/>
          <w:sz w:val="21"/>
          <w:szCs w:val="21"/>
        </w:rPr>
        <w:t>作出</w:t>
      </w:r>
      <w:proofErr w:type="gramEnd"/>
      <w:r>
        <w:rPr>
          <w:rFonts w:ascii="宋体" w:eastAsia="宋体" w:hAnsi="宋体" w:hint="eastAsia"/>
          <w:sz w:val="21"/>
          <w:szCs w:val="21"/>
        </w:rPr>
        <w:t>声明）。“信用中国”、“中国政府采购网”以及“</w:t>
      </w:r>
      <w:r>
        <w:rPr>
          <w:rFonts w:ascii="宋体" w:eastAsia="宋体" w:hAnsi="宋体" w:hint="eastAsia"/>
          <w:sz w:val="21"/>
          <w:szCs w:val="21"/>
        </w:rPr>
        <w:t>深圳市政府采购监管网”为供应商信用信息的查询渠道，相关信息以中标通知书发出前的查询结果为准。</w:t>
      </w:r>
    </w:p>
    <w:p w:rsidR="00E06F90" w:rsidRDefault="00642B59" w:rsidP="00642B59">
      <w:pPr>
        <w:widowControl w:val="0"/>
        <w:spacing w:beforeLines="25" w:afterLines="25" w:line="400" w:lineRule="exact"/>
        <w:jc w:val="both"/>
        <w:rPr>
          <w:rFonts w:ascii="宋体" w:eastAsia="宋体" w:hAnsi="宋体"/>
          <w:sz w:val="21"/>
          <w:szCs w:val="21"/>
        </w:rPr>
      </w:pPr>
      <w:r>
        <w:rPr>
          <w:rFonts w:ascii="宋体" w:eastAsia="宋体" w:hAnsi="宋体" w:hint="eastAsia"/>
          <w:sz w:val="21"/>
          <w:szCs w:val="21"/>
        </w:rPr>
        <w:t>6.</w:t>
      </w:r>
      <w:r>
        <w:rPr>
          <w:rFonts w:ascii="宋体" w:eastAsia="宋体" w:hAnsi="宋体" w:hint="eastAsia"/>
          <w:sz w:val="21"/>
          <w:szCs w:val="21"/>
        </w:rPr>
        <w:t>本项目不接受联合体参与谈判，不得分包、转包。</w:t>
      </w:r>
    </w:p>
    <w:p w:rsidR="00E06F90" w:rsidRDefault="00E06F90"/>
    <w:p w:rsidR="00E06F90" w:rsidRDefault="00E06F90">
      <w:pPr>
        <w:rPr>
          <w:rFonts w:ascii="宋体" w:eastAsia="宋体" w:hAnsi="宋体" w:cs="宋体"/>
          <w:sz w:val="28"/>
          <w:szCs w:val="28"/>
        </w:rPr>
      </w:pPr>
    </w:p>
    <w:p w:rsidR="00E06F90" w:rsidRDefault="00E06F90">
      <w:pPr>
        <w:rPr>
          <w:rFonts w:ascii="宋体" w:eastAsia="宋体" w:hAnsi="宋体" w:cs="宋体"/>
          <w:sz w:val="28"/>
          <w:szCs w:val="28"/>
        </w:rPr>
        <w:sectPr w:rsidR="00E06F90">
          <w:pgSz w:w="11906" w:h="16838"/>
          <w:pgMar w:top="1440" w:right="1797" w:bottom="1440" w:left="1797" w:header="851" w:footer="992" w:gutter="0"/>
          <w:cols w:space="425"/>
          <w:docGrid w:type="lines" w:linePitch="312"/>
        </w:sectPr>
      </w:pPr>
    </w:p>
    <w:p w:rsidR="00E06F90" w:rsidRDefault="00642B59">
      <w:pPr>
        <w:pStyle w:val="3"/>
      </w:pPr>
      <w:bookmarkStart w:id="0" w:name="_Toc256000009"/>
      <w:bookmarkStart w:id="1" w:name="_Toc110324647"/>
      <w:bookmarkStart w:id="2" w:name="_Toc102055779"/>
      <w:r>
        <w:rPr>
          <w:rFonts w:hint="eastAsia"/>
        </w:rPr>
        <w:lastRenderedPageBreak/>
        <w:t>二、项目概况</w:t>
      </w:r>
      <w:bookmarkEnd w:id="0"/>
      <w:bookmarkEnd w:id="1"/>
      <w:bookmarkEnd w:id="2"/>
    </w:p>
    <w:p w:rsidR="00E06F90" w:rsidRDefault="00642B59">
      <w:pPr>
        <w:pStyle w:val="a3"/>
        <w:spacing w:line="400" w:lineRule="exact"/>
        <w:ind w:firstLineChars="200" w:firstLine="420"/>
        <w:rPr>
          <w:rFonts w:ascii="宋体" w:eastAsia="宋体" w:hAnsi="宋体" w:cs="宋体"/>
          <w:sz w:val="21"/>
          <w:szCs w:val="21"/>
        </w:rPr>
      </w:pPr>
      <w:bookmarkStart w:id="3" w:name="_Toc47703790"/>
      <w:bookmarkStart w:id="4" w:name="_Toc102055780"/>
      <w:r>
        <w:rPr>
          <w:rFonts w:ascii="宋体" w:eastAsia="宋体" w:hAnsi="宋体" w:cs="宋体" w:hint="eastAsia"/>
          <w:sz w:val="21"/>
          <w:szCs w:val="21"/>
        </w:rPr>
        <w:t>2017</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月，中共中央组织部与原国家卫生计生委联合印发《公立医院领导人员管理暂行办法》（</w:t>
      </w:r>
      <w:proofErr w:type="gramStart"/>
      <w:r>
        <w:rPr>
          <w:rFonts w:ascii="宋体" w:eastAsia="宋体" w:hAnsi="宋体" w:cs="宋体" w:hint="eastAsia"/>
          <w:sz w:val="21"/>
          <w:szCs w:val="21"/>
        </w:rPr>
        <w:t>中组发〔</w:t>
      </w:r>
      <w:r>
        <w:rPr>
          <w:rFonts w:ascii="宋体" w:eastAsia="宋体" w:hAnsi="宋体" w:cs="宋体" w:hint="eastAsia"/>
          <w:sz w:val="21"/>
          <w:szCs w:val="21"/>
        </w:rPr>
        <w:t>2017</w:t>
      </w:r>
      <w:r>
        <w:rPr>
          <w:rFonts w:ascii="宋体" w:eastAsia="宋体" w:hAnsi="宋体" w:cs="宋体" w:hint="eastAsia"/>
          <w:sz w:val="21"/>
          <w:szCs w:val="21"/>
        </w:rPr>
        <w:t>〕</w:t>
      </w:r>
      <w:proofErr w:type="gramEnd"/>
      <w:r>
        <w:rPr>
          <w:rFonts w:ascii="宋体" w:eastAsia="宋体" w:hAnsi="宋体" w:cs="宋体" w:hint="eastAsia"/>
          <w:sz w:val="21"/>
          <w:szCs w:val="21"/>
        </w:rPr>
        <w:t>5</w:t>
      </w:r>
      <w:r>
        <w:rPr>
          <w:rFonts w:ascii="宋体" w:eastAsia="宋体" w:hAnsi="宋体" w:cs="宋体" w:hint="eastAsia"/>
          <w:sz w:val="21"/>
          <w:szCs w:val="21"/>
        </w:rPr>
        <w:t>号），文件明确要求医院行政领导人员应当经过国家认可的医院院长职业化培训。</w:t>
      </w:r>
    </w:p>
    <w:p w:rsidR="00E06F90" w:rsidRDefault="00642B59">
      <w:pPr>
        <w:pStyle w:val="a3"/>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2018</w:t>
      </w:r>
      <w:r>
        <w:rPr>
          <w:rFonts w:ascii="宋体" w:eastAsia="宋体" w:hAnsi="宋体" w:cs="宋体" w:hint="eastAsia"/>
          <w:sz w:val="21"/>
          <w:szCs w:val="21"/>
        </w:rPr>
        <w:t>年</w:t>
      </w:r>
      <w:r>
        <w:rPr>
          <w:rFonts w:ascii="宋体" w:eastAsia="宋体" w:hAnsi="宋体" w:cs="宋体" w:hint="eastAsia"/>
          <w:sz w:val="21"/>
          <w:szCs w:val="21"/>
        </w:rPr>
        <w:t>8</w:t>
      </w:r>
      <w:r>
        <w:rPr>
          <w:rFonts w:ascii="宋体" w:eastAsia="宋体" w:hAnsi="宋体" w:cs="宋体" w:hint="eastAsia"/>
          <w:sz w:val="21"/>
          <w:szCs w:val="21"/>
        </w:rPr>
        <w:t>月，中共深圳市委深圳市人民政府印发《关于实施“鹏城英才计划”的意见》（深发〔</w:t>
      </w:r>
      <w:r>
        <w:rPr>
          <w:rFonts w:ascii="宋体" w:eastAsia="宋体" w:hAnsi="宋体" w:cs="宋体" w:hint="eastAsia"/>
          <w:sz w:val="21"/>
          <w:szCs w:val="21"/>
        </w:rPr>
        <w:t>2018</w:t>
      </w: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号），文件提出每年遴选</w:t>
      </w:r>
      <w:r>
        <w:rPr>
          <w:rFonts w:ascii="宋体" w:eastAsia="宋体" w:hAnsi="宋体" w:cs="宋体" w:hint="eastAsia"/>
          <w:sz w:val="21"/>
          <w:szCs w:val="21"/>
        </w:rPr>
        <w:t>5</w:t>
      </w:r>
      <w:r>
        <w:rPr>
          <w:rFonts w:ascii="宋体" w:eastAsia="宋体" w:hAnsi="宋体" w:cs="宋体" w:hint="eastAsia"/>
          <w:sz w:val="21"/>
          <w:szCs w:val="21"/>
        </w:rPr>
        <w:t>0</w:t>
      </w:r>
      <w:r>
        <w:rPr>
          <w:rFonts w:ascii="宋体" w:eastAsia="宋体" w:hAnsi="宋体" w:cs="宋体" w:hint="eastAsia"/>
          <w:sz w:val="21"/>
          <w:szCs w:val="21"/>
        </w:rPr>
        <w:t>名医院院长及后备人才开展职业化培训，给予每人最高</w:t>
      </w:r>
      <w:r>
        <w:rPr>
          <w:rFonts w:ascii="宋体" w:eastAsia="宋体" w:hAnsi="宋体" w:cs="宋体" w:hint="eastAsia"/>
          <w:sz w:val="21"/>
          <w:szCs w:val="21"/>
        </w:rPr>
        <w:t>20</w:t>
      </w:r>
      <w:r>
        <w:rPr>
          <w:rFonts w:ascii="宋体" w:eastAsia="宋体" w:hAnsi="宋体" w:cs="宋体" w:hint="eastAsia"/>
          <w:sz w:val="21"/>
          <w:szCs w:val="21"/>
        </w:rPr>
        <w:t>万元经费支持。</w:t>
      </w:r>
    </w:p>
    <w:p w:rsidR="00E06F90" w:rsidRDefault="00642B59">
      <w:pPr>
        <w:pStyle w:val="a3"/>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7</w:t>
      </w:r>
      <w:r>
        <w:rPr>
          <w:rFonts w:ascii="宋体" w:eastAsia="宋体" w:hAnsi="宋体" w:cs="宋体" w:hint="eastAsia"/>
          <w:sz w:val="21"/>
          <w:szCs w:val="21"/>
        </w:rPr>
        <w:t>月，深圳市卫生健康委</w:t>
      </w:r>
      <w:r>
        <w:rPr>
          <w:rFonts w:ascii="宋体" w:eastAsia="宋体" w:hAnsi="宋体" w:cs="宋体" w:hint="eastAsia"/>
          <w:sz w:val="21"/>
          <w:szCs w:val="21"/>
        </w:rPr>
        <w:t xml:space="preserve">  </w:t>
      </w:r>
      <w:r>
        <w:rPr>
          <w:rFonts w:ascii="宋体" w:eastAsia="宋体" w:hAnsi="宋体" w:cs="宋体" w:hint="eastAsia"/>
          <w:sz w:val="21"/>
          <w:szCs w:val="21"/>
        </w:rPr>
        <w:t>深圳市财政局联合印发《深圳市公立医院院长及后备人才职业化培训实施办法（试行）》（深卫健发〔</w:t>
      </w:r>
      <w:r>
        <w:rPr>
          <w:rFonts w:ascii="宋体" w:eastAsia="宋体" w:hAnsi="宋体" w:cs="宋体" w:hint="eastAsia"/>
          <w:sz w:val="21"/>
          <w:szCs w:val="21"/>
        </w:rPr>
        <w:t>2019</w:t>
      </w:r>
      <w:r>
        <w:rPr>
          <w:rFonts w:ascii="宋体" w:eastAsia="宋体" w:hAnsi="宋体" w:cs="宋体" w:hint="eastAsia"/>
          <w:sz w:val="21"/>
          <w:szCs w:val="21"/>
        </w:rPr>
        <w:t>〕</w:t>
      </w:r>
      <w:r>
        <w:rPr>
          <w:rFonts w:ascii="宋体" w:eastAsia="宋体" w:hAnsi="宋体" w:cs="宋体" w:hint="eastAsia"/>
          <w:sz w:val="21"/>
          <w:szCs w:val="21"/>
        </w:rPr>
        <w:t xml:space="preserve">62 </w:t>
      </w:r>
      <w:r>
        <w:rPr>
          <w:rFonts w:ascii="宋体" w:eastAsia="宋体" w:hAnsi="宋体" w:cs="宋体" w:hint="eastAsia"/>
          <w:sz w:val="21"/>
          <w:szCs w:val="21"/>
        </w:rPr>
        <w:t>号），提出了我市公立医院院长及后备人才职业化培训的总体要求、人员类型和实施路径，并对培训对象遴选条件、遴选程序、培训组织、评价总结、经费保障等方面做了进一步细化。同年</w:t>
      </w:r>
      <w:r>
        <w:rPr>
          <w:rFonts w:ascii="宋体" w:eastAsia="宋体" w:hAnsi="宋体" w:cs="宋体" w:hint="eastAsia"/>
          <w:sz w:val="21"/>
          <w:szCs w:val="21"/>
        </w:rPr>
        <w:t>9</w:t>
      </w:r>
      <w:r>
        <w:rPr>
          <w:rFonts w:ascii="宋体" w:eastAsia="宋体" w:hAnsi="宋体" w:cs="宋体" w:hint="eastAsia"/>
          <w:sz w:val="21"/>
          <w:szCs w:val="21"/>
        </w:rPr>
        <w:t>月，深圳市卫生健康委遴选出第一批公立医院院长及后备人才职业化培训对象。</w:t>
      </w:r>
    </w:p>
    <w:p w:rsidR="00E06F90" w:rsidRDefault="00642B59">
      <w:pPr>
        <w:pStyle w:val="a3"/>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2020</w:t>
      </w:r>
      <w:r>
        <w:rPr>
          <w:rFonts w:ascii="宋体" w:eastAsia="宋体" w:hAnsi="宋体" w:cs="宋体" w:hint="eastAsia"/>
          <w:sz w:val="21"/>
          <w:szCs w:val="21"/>
        </w:rPr>
        <w:t>年</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日，第一批公立医院院长及后备人才职业化培训</w:t>
      </w:r>
      <w:r>
        <w:rPr>
          <w:rFonts w:ascii="宋体" w:eastAsia="宋体" w:hAnsi="宋体" w:cs="宋体" w:hint="eastAsia"/>
          <w:sz w:val="21"/>
          <w:szCs w:val="21"/>
        </w:rPr>
        <w:t>班开班仪式在深圳市卫生健康能力建设和继续教育中心</w:t>
      </w:r>
      <w:r>
        <w:rPr>
          <w:rFonts w:ascii="宋体" w:eastAsia="宋体" w:hAnsi="宋体" w:cs="宋体" w:hint="eastAsia"/>
          <w:sz w:val="21"/>
          <w:szCs w:val="21"/>
        </w:rPr>
        <w:t>顺利举行</w:t>
      </w:r>
      <w:r>
        <w:rPr>
          <w:rFonts w:ascii="宋体" w:eastAsia="宋体" w:hAnsi="宋体" w:cs="宋体" w:hint="eastAsia"/>
          <w:sz w:val="21"/>
          <w:szCs w:val="21"/>
        </w:rPr>
        <w:t>。</w:t>
      </w:r>
      <w:r>
        <w:rPr>
          <w:rFonts w:ascii="宋体" w:eastAsia="宋体" w:hAnsi="宋体" w:cs="宋体" w:hint="eastAsia"/>
          <w:sz w:val="21"/>
          <w:szCs w:val="21"/>
        </w:rPr>
        <w:t>自</w:t>
      </w:r>
      <w:r>
        <w:rPr>
          <w:rFonts w:ascii="宋体" w:eastAsia="宋体" w:hAnsi="宋体" w:cs="宋体" w:hint="eastAsia"/>
          <w:sz w:val="21"/>
          <w:szCs w:val="21"/>
        </w:rPr>
        <w:t>此，我市公立医院院长及后备人才职业化培训工作正式拉开序幕。</w:t>
      </w:r>
    </w:p>
    <w:p w:rsidR="00E06F90" w:rsidRDefault="00642B59">
      <w:pPr>
        <w:pStyle w:val="a3"/>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目前，我市已经遴选出</w:t>
      </w:r>
      <w:r w:rsidRPr="00642B59">
        <w:rPr>
          <w:rFonts w:ascii="宋体" w:eastAsia="宋体" w:hAnsi="宋体" w:cs="宋体" w:hint="eastAsia"/>
          <w:sz w:val="21"/>
          <w:szCs w:val="21"/>
        </w:rPr>
        <w:t>了</w:t>
      </w:r>
      <w:r w:rsidRPr="00642B59">
        <w:rPr>
          <w:rFonts w:ascii="宋体" w:eastAsia="宋体" w:hAnsi="宋体" w:cs="宋体" w:hint="eastAsia"/>
          <w:sz w:val="21"/>
          <w:szCs w:val="21"/>
        </w:rPr>
        <w:t>四</w:t>
      </w:r>
      <w:r>
        <w:rPr>
          <w:rFonts w:ascii="宋体" w:eastAsia="宋体" w:hAnsi="宋体" w:cs="宋体" w:hint="eastAsia"/>
          <w:sz w:val="21"/>
          <w:szCs w:val="21"/>
        </w:rPr>
        <w:t>批公立医院院长及后备人才职业化培训参训学员，开展了</w:t>
      </w:r>
      <w:r w:rsidRPr="00642B59">
        <w:rPr>
          <w:rFonts w:ascii="宋体" w:eastAsia="宋体" w:hAnsi="宋体" w:cs="宋体" w:hint="eastAsia"/>
          <w:sz w:val="21"/>
          <w:szCs w:val="21"/>
        </w:rPr>
        <w:t>三</w:t>
      </w:r>
      <w:r>
        <w:rPr>
          <w:rFonts w:ascii="宋体" w:eastAsia="宋体" w:hAnsi="宋体" w:cs="宋体" w:hint="eastAsia"/>
          <w:sz w:val="21"/>
          <w:szCs w:val="21"/>
        </w:rPr>
        <w:t>批公立医院院长及后备人才职业化培训班，取得了良好的效果，很好地</w:t>
      </w:r>
      <w:r>
        <w:rPr>
          <w:rFonts w:ascii="宋体" w:eastAsia="宋体" w:hAnsi="宋体" w:cs="宋体" w:hint="eastAsia"/>
          <w:sz w:val="21"/>
          <w:szCs w:val="21"/>
        </w:rPr>
        <w:t>贯彻</w:t>
      </w:r>
      <w:r>
        <w:rPr>
          <w:rFonts w:ascii="宋体" w:eastAsia="宋体" w:hAnsi="宋体" w:cs="宋体" w:hint="eastAsia"/>
          <w:sz w:val="21"/>
          <w:szCs w:val="21"/>
        </w:rPr>
        <w:t>落实了国家、省、市有关深化公立医院改革、推进公立医院院长职业化建设的工作任务。</w:t>
      </w:r>
    </w:p>
    <w:p w:rsidR="00E06F90" w:rsidRDefault="00642B59">
      <w:pPr>
        <w:pStyle w:val="a3"/>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现在，按照工作计划，决定开展第</w:t>
      </w:r>
      <w:r w:rsidRPr="00642B59">
        <w:rPr>
          <w:rFonts w:ascii="宋体" w:eastAsia="宋体" w:hAnsi="宋体" w:cs="宋体" w:hint="eastAsia"/>
          <w:sz w:val="21"/>
          <w:szCs w:val="21"/>
        </w:rPr>
        <w:t>四</w:t>
      </w:r>
      <w:r>
        <w:rPr>
          <w:rFonts w:ascii="宋体" w:eastAsia="宋体" w:hAnsi="宋体" w:cs="宋体" w:hint="eastAsia"/>
          <w:sz w:val="21"/>
          <w:szCs w:val="21"/>
        </w:rPr>
        <w:t>批公立医院后备人才职业化培训招标工作。</w:t>
      </w:r>
      <w:bookmarkStart w:id="5" w:name="_Toc256000010"/>
      <w:bookmarkStart w:id="6" w:name="_Toc110324648"/>
    </w:p>
    <w:p w:rsidR="00E06F90" w:rsidRDefault="00E06F90">
      <w:pPr>
        <w:pStyle w:val="a3"/>
        <w:spacing w:line="400" w:lineRule="exact"/>
        <w:ind w:firstLineChars="200" w:firstLine="420"/>
        <w:rPr>
          <w:rFonts w:ascii="宋体" w:eastAsia="宋体" w:hAnsi="宋体" w:cs="宋体"/>
          <w:sz w:val="21"/>
          <w:szCs w:val="21"/>
        </w:rPr>
        <w:sectPr w:rsidR="00E06F90">
          <w:pgSz w:w="11906" w:h="16838"/>
          <w:pgMar w:top="1440" w:right="1797" w:bottom="1440" w:left="1797" w:header="851" w:footer="992" w:gutter="0"/>
          <w:cols w:space="425"/>
          <w:docGrid w:type="lines" w:linePitch="312"/>
        </w:sectPr>
      </w:pPr>
    </w:p>
    <w:p w:rsidR="00E06F90" w:rsidRDefault="00642B59" w:rsidP="00642B59">
      <w:pPr>
        <w:pStyle w:val="a3"/>
        <w:spacing w:line="400" w:lineRule="exact"/>
        <w:ind w:firstLineChars="200" w:firstLine="482"/>
        <w:jc w:val="center"/>
        <w:rPr>
          <w:rFonts w:ascii="宋体" w:eastAsia="宋体" w:hAnsi="宋体" w:cs="宋体"/>
          <w:b/>
        </w:rPr>
      </w:pPr>
      <w:r>
        <w:rPr>
          <w:rFonts w:hint="eastAsia"/>
          <w:b/>
        </w:rPr>
        <w:lastRenderedPageBreak/>
        <w:t>项目技术（服务）要求</w:t>
      </w:r>
      <w:bookmarkEnd w:id="3"/>
      <w:bookmarkEnd w:id="4"/>
      <w:bookmarkEnd w:id="5"/>
      <w:bookmarkEnd w:id="6"/>
    </w:p>
    <w:p w:rsidR="00E06F90" w:rsidRDefault="00E06F90">
      <w:bookmarkStart w:id="7" w:name="_Toc47703791"/>
    </w:p>
    <w:p w:rsidR="00E06F90" w:rsidRDefault="00642B59">
      <w:pPr>
        <w:pStyle w:val="a7"/>
        <w:spacing w:line="400" w:lineRule="exact"/>
        <w:ind w:firstLineChars="0" w:firstLine="0"/>
        <w:jc w:val="center"/>
        <w:rPr>
          <w:rFonts w:ascii="黑体" w:eastAsia="黑体" w:hAnsi="黑体" w:cs="黑体"/>
          <w:kern w:val="2"/>
          <w:sz w:val="32"/>
          <w:szCs w:val="32"/>
        </w:rPr>
      </w:pPr>
      <w:bookmarkStart w:id="8" w:name="_Toc110324649"/>
      <w:bookmarkStart w:id="9" w:name="_Toc102055781"/>
      <w:bookmarkStart w:id="10" w:name="_Toc256000011"/>
      <w:r>
        <w:rPr>
          <w:rFonts w:ascii="黑体" w:eastAsia="黑体" w:hAnsi="黑体" w:cs="黑体" w:hint="eastAsia"/>
          <w:kern w:val="2"/>
          <w:sz w:val="32"/>
          <w:szCs w:val="32"/>
        </w:rPr>
        <w:t>后备人才</w:t>
      </w:r>
      <w:proofErr w:type="gramStart"/>
      <w:r>
        <w:rPr>
          <w:rFonts w:ascii="黑体" w:eastAsia="黑体" w:hAnsi="黑体" w:cs="黑体" w:hint="eastAsia"/>
          <w:kern w:val="2"/>
          <w:sz w:val="32"/>
          <w:szCs w:val="32"/>
        </w:rPr>
        <w:t>班项目</w:t>
      </w:r>
      <w:proofErr w:type="gramEnd"/>
      <w:r>
        <w:rPr>
          <w:rFonts w:ascii="黑体" w:eastAsia="黑体" w:hAnsi="黑体" w:cs="黑体" w:hint="eastAsia"/>
          <w:kern w:val="2"/>
          <w:sz w:val="32"/>
          <w:szCs w:val="32"/>
        </w:rPr>
        <w:t>需求一览表</w:t>
      </w:r>
    </w:p>
    <w:p w:rsidR="00E06F90" w:rsidRDefault="00642B59">
      <w:pPr>
        <w:pStyle w:val="a7"/>
        <w:spacing w:line="400" w:lineRule="exact"/>
        <w:ind w:left="420" w:firstLineChars="0" w:firstLine="0"/>
        <w:jc w:val="center"/>
        <w:rPr>
          <w:rFonts w:ascii="宋体" w:hAnsi="宋体"/>
          <w:bCs/>
        </w:rPr>
      </w:pPr>
      <w:r>
        <w:rPr>
          <w:rFonts w:ascii="宋体" w:hAnsi="宋体" w:hint="eastAsia"/>
          <w:bCs/>
        </w:rPr>
        <w:t>（</w:t>
      </w:r>
      <w:r>
        <w:rPr>
          <w:rFonts w:ascii="宋体" w:hAnsi="宋体" w:hint="eastAsia"/>
          <w:bCs/>
        </w:rPr>
        <w:t>240</w:t>
      </w:r>
      <w:r>
        <w:rPr>
          <w:rFonts w:ascii="宋体" w:hAnsi="宋体" w:hint="eastAsia"/>
          <w:bCs/>
        </w:rPr>
        <w:t>课时）</w:t>
      </w:r>
    </w:p>
    <w:p w:rsidR="00E06F90" w:rsidRDefault="00E06F90">
      <w:pPr>
        <w:pStyle w:val="a7"/>
        <w:spacing w:line="400" w:lineRule="exact"/>
        <w:ind w:left="420" w:firstLineChars="0" w:firstLine="0"/>
        <w:jc w:val="center"/>
        <w:rPr>
          <w:rFonts w:ascii="宋体" w:hAnsi="宋体"/>
          <w:bCs/>
        </w:rPr>
      </w:pPr>
    </w:p>
    <w:tbl>
      <w:tblPr>
        <w:tblStyle w:val="a4"/>
        <w:tblW w:w="12729" w:type="dxa"/>
        <w:tblInd w:w="435" w:type="dxa"/>
        <w:tblLayout w:type="fixed"/>
        <w:tblLook w:val="04A0"/>
      </w:tblPr>
      <w:tblGrid>
        <w:gridCol w:w="1276"/>
        <w:gridCol w:w="1985"/>
        <w:gridCol w:w="1672"/>
        <w:gridCol w:w="1843"/>
        <w:gridCol w:w="3402"/>
        <w:gridCol w:w="2551"/>
      </w:tblGrid>
      <w:tr w:rsidR="00E06F90">
        <w:trPr>
          <w:trHeight w:val="721"/>
        </w:trPr>
        <w:tc>
          <w:tcPr>
            <w:tcW w:w="1276"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培训模块</w:t>
            </w:r>
            <w:r>
              <w:rPr>
                <w:rFonts w:asciiTheme="majorEastAsia" w:eastAsiaTheme="majorEastAsia" w:hAnsiTheme="majorEastAsia" w:cstheme="majorEastAsia" w:hint="eastAsia"/>
                <w:b/>
                <w:sz w:val="21"/>
                <w:szCs w:val="21"/>
              </w:rPr>
              <w:t>（包括但不限于）</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主要内容</w:t>
            </w:r>
          </w:p>
        </w:tc>
        <w:tc>
          <w:tcPr>
            <w:tcW w:w="1672"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学员及课时</w:t>
            </w:r>
          </w:p>
        </w:tc>
        <w:tc>
          <w:tcPr>
            <w:tcW w:w="1843"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培训方式</w:t>
            </w:r>
          </w:p>
        </w:tc>
        <w:tc>
          <w:tcPr>
            <w:tcW w:w="3402"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师资及授课要求</w:t>
            </w:r>
          </w:p>
        </w:tc>
        <w:tc>
          <w:tcPr>
            <w:tcW w:w="2551" w:type="dxa"/>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场地要求</w:t>
            </w:r>
          </w:p>
        </w:tc>
      </w:tr>
      <w:tr w:rsidR="00E06F90">
        <w:trPr>
          <w:trHeight w:val="973"/>
        </w:trPr>
        <w:tc>
          <w:tcPr>
            <w:tcW w:w="1276" w:type="dxa"/>
            <w:vMerge w:val="restart"/>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党的建设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定制</w:t>
            </w:r>
            <w:r>
              <w:rPr>
                <w:rFonts w:asciiTheme="majorEastAsia" w:eastAsiaTheme="majorEastAsia" w:hAnsiTheme="majorEastAsia" w:cstheme="majorEastAsia" w:hint="eastAsia"/>
                <w:sz w:val="21"/>
                <w:szCs w:val="21"/>
              </w:rPr>
              <w:t>）</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党建与党的领导</w:t>
            </w:r>
          </w:p>
        </w:tc>
        <w:tc>
          <w:tcPr>
            <w:tcW w:w="1672"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后备人才班</w:t>
            </w:r>
            <w:r>
              <w:rPr>
                <w:rFonts w:asciiTheme="majorEastAsia" w:eastAsiaTheme="majorEastAsia" w:hAnsiTheme="majorEastAsia" w:cstheme="majorEastAsia" w:hint="eastAsia"/>
                <w:sz w:val="21"/>
                <w:szCs w:val="21"/>
              </w:rPr>
              <w:t>30</w:t>
            </w:r>
            <w:r>
              <w:rPr>
                <w:rFonts w:asciiTheme="majorEastAsia" w:eastAsiaTheme="majorEastAsia" w:hAnsiTheme="majorEastAsia" w:cstheme="majorEastAsia" w:hint="eastAsia"/>
                <w:sz w:val="21"/>
                <w:szCs w:val="21"/>
              </w:rPr>
              <w:t>人，</w:t>
            </w:r>
            <w:r>
              <w:rPr>
                <w:rFonts w:asciiTheme="majorEastAsia" w:eastAsiaTheme="majorEastAsia" w:hAnsiTheme="majorEastAsia" w:cstheme="majorEastAsia" w:hint="eastAsia"/>
                <w:sz w:val="21"/>
                <w:szCs w:val="21"/>
              </w:rPr>
              <w:t>24</w:t>
            </w:r>
            <w:r>
              <w:rPr>
                <w:rFonts w:asciiTheme="majorEastAsia" w:eastAsiaTheme="majorEastAsia" w:hAnsiTheme="majorEastAsia" w:cstheme="majorEastAsia" w:hint="eastAsia"/>
                <w:sz w:val="21"/>
                <w:szCs w:val="21"/>
              </w:rPr>
              <w:t>课时</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3</w:t>
            </w:r>
            <w:r>
              <w:rPr>
                <w:rFonts w:asciiTheme="majorEastAsia" w:eastAsiaTheme="majorEastAsia" w:hAnsiTheme="majorEastAsia" w:cstheme="majorEastAsia" w:hint="eastAsia"/>
                <w:sz w:val="21"/>
                <w:szCs w:val="21"/>
              </w:rPr>
              <w:t>天</w:t>
            </w:r>
          </w:p>
        </w:tc>
        <w:tc>
          <w:tcPr>
            <w:tcW w:w="1843"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典型案例剖析</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分组讨论分享</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专题论文</w:t>
            </w:r>
          </w:p>
        </w:tc>
        <w:tc>
          <w:tcPr>
            <w:tcW w:w="3402"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集中授课的师资须为该课程领域国内顶级水平的师资力量，原则上须正高职称；现场教学、体验式培训须安排与课程相对应的基地或医院相关工作负责人。</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从公立医院行政副职角度对模块内容进行针对性培训。</w:t>
            </w:r>
          </w:p>
        </w:tc>
        <w:tc>
          <w:tcPr>
            <w:tcW w:w="2551"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须有符合要求的专门培训教室或会议室。</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现场教学、实地考察、体验式培训须专门安排与课程对应的基地或医院进行培训。</w:t>
            </w:r>
          </w:p>
        </w:tc>
      </w:tr>
      <w:tr w:rsidR="00E06F90">
        <w:trPr>
          <w:trHeight w:val="973"/>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公立医院党建</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974"/>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党风党纪与廉政</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550"/>
        </w:trPr>
        <w:tc>
          <w:tcPr>
            <w:tcW w:w="1276" w:type="dxa"/>
            <w:vMerge w:val="restart"/>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政府治理</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定制</w:t>
            </w:r>
            <w:r>
              <w:rPr>
                <w:rFonts w:asciiTheme="majorEastAsia" w:eastAsiaTheme="majorEastAsia" w:hAnsiTheme="majorEastAsia" w:cstheme="majorEastAsia" w:hint="eastAsia"/>
                <w:sz w:val="21"/>
                <w:szCs w:val="21"/>
              </w:rPr>
              <w:t>）</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中国政府与政治</w:t>
            </w:r>
          </w:p>
        </w:tc>
        <w:tc>
          <w:tcPr>
            <w:tcW w:w="1672"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后备人才班</w:t>
            </w:r>
            <w:r>
              <w:rPr>
                <w:rFonts w:asciiTheme="majorEastAsia" w:eastAsiaTheme="majorEastAsia" w:hAnsiTheme="majorEastAsia" w:cstheme="majorEastAsia" w:hint="eastAsia"/>
                <w:sz w:val="21"/>
                <w:szCs w:val="21"/>
              </w:rPr>
              <w:t>30</w:t>
            </w:r>
            <w:r>
              <w:rPr>
                <w:rFonts w:asciiTheme="majorEastAsia" w:eastAsiaTheme="majorEastAsia" w:hAnsiTheme="majorEastAsia" w:cstheme="majorEastAsia" w:hint="eastAsia"/>
                <w:sz w:val="21"/>
                <w:szCs w:val="21"/>
              </w:rPr>
              <w:t>人，</w:t>
            </w:r>
            <w:r>
              <w:rPr>
                <w:rFonts w:asciiTheme="majorEastAsia" w:eastAsiaTheme="majorEastAsia" w:hAnsiTheme="majorEastAsia" w:cstheme="majorEastAsia" w:hint="eastAsia"/>
                <w:sz w:val="21"/>
                <w:szCs w:val="21"/>
              </w:rPr>
              <w:t>40</w:t>
            </w:r>
            <w:r>
              <w:rPr>
                <w:rFonts w:asciiTheme="majorEastAsia" w:eastAsiaTheme="majorEastAsia" w:hAnsiTheme="majorEastAsia" w:cstheme="majorEastAsia" w:hint="eastAsia"/>
                <w:sz w:val="21"/>
                <w:szCs w:val="21"/>
              </w:rPr>
              <w:t>课时</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5</w:t>
            </w:r>
            <w:r>
              <w:rPr>
                <w:rFonts w:asciiTheme="majorEastAsia" w:eastAsiaTheme="majorEastAsia" w:hAnsiTheme="majorEastAsia" w:cstheme="majorEastAsia" w:hint="eastAsia"/>
                <w:sz w:val="21"/>
                <w:szCs w:val="21"/>
              </w:rPr>
              <w:t>天</w:t>
            </w:r>
          </w:p>
        </w:tc>
        <w:tc>
          <w:tcPr>
            <w:tcW w:w="1843"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体验式培训</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实地考察</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分组讨论分享</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专题论文</w:t>
            </w:r>
          </w:p>
        </w:tc>
        <w:tc>
          <w:tcPr>
            <w:tcW w:w="3402"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集中授课的师资须为该课程领域国内高校或政府部门顶级水平的师资力量，原则上须正高职称；现场教</w:t>
            </w:r>
            <w:r>
              <w:rPr>
                <w:rFonts w:asciiTheme="majorEastAsia" w:eastAsiaTheme="majorEastAsia" w:hAnsiTheme="majorEastAsia" w:cstheme="majorEastAsia" w:hint="eastAsia"/>
                <w:sz w:val="21"/>
                <w:szCs w:val="21"/>
              </w:rPr>
              <w:lastRenderedPageBreak/>
              <w:t>学、体验式培训须安排与课程相对应的考察基地相关工作负责人。</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从公立医院行政副职角度对模块内容进行针对性培训。</w:t>
            </w:r>
          </w:p>
        </w:tc>
        <w:tc>
          <w:tcPr>
            <w:tcW w:w="2551"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须有符合要求的专门培训教室或会议室。</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现场教学、实地考察、体</w:t>
            </w:r>
            <w:r>
              <w:rPr>
                <w:rFonts w:asciiTheme="majorEastAsia" w:eastAsiaTheme="majorEastAsia" w:hAnsiTheme="majorEastAsia" w:cstheme="majorEastAsia" w:hint="eastAsia"/>
                <w:sz w:val="21"/>
                <w:szCs w:val="21"/>
              </w:rPr>
              <w:lastRenderedPageBreak/>
              <w:t>验式培训须专门安排与课程对应的基地或医院进行培训。</w:t>
            </w:r>
          </w:p>
        </w:tc>
      </w:tr>
      <w:tr w:rsidR="00E06F90">
        <w:trPr>
          <w:trHeight w:val="940"/>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政治经济学原理</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940"/>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粤港澳大湾区</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战略</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940"/>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先行示范区建设</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1924"/>
        </w:trPr>
        <w:tc>
          <w:tcPr>
            <w:tcW w:w="1276" w:type="dxa"/>
            <w:vMerge w:val="restart"/>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政策法规</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定制</w:t>
            </w:r>
            <w:r>
              <w:rPr>
                <w:rFonts w:asciiTheme="majorEastAsia" w:eastAsiaTheme="majorEastAsia" w:hAnsiTheme="majorEastAsia" w:cstheme="majorEastAsia" w:hint="eastAsia"/>
                <w:sz w:val="21"/>
                <w:szCs w:val="21"/>
              </w:rPr>
              <w:t>）</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医药卫生体制</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改革及相关政策</w:t>
            </w:r>
          </w:p>
        </w:tc>
        <w:tc>
          <w:tcPr>
            <w:tcW w:w="1672"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后备人才班</w:t>
            </w:r>
            <w:r>
              <w:rPr>
                <w:rFonts w:asciiTheme="majorEastAsia" w:eastAsiaTheme="majorEastAsia" w:hAnsiTheme="majorEastAsia" w:cstheme="majorEastAsia" w:hint="eastAsia"/>
                <w:sz w:val="21"/>
                <w:szCs w:val="21"/>
              </w:rPr>
              <w:t>30</w:t>
            </w:r>
            <w:r>
              <w:rPr>
                <w:rFonts w:asciiTheme="majorEastAsia" w:eastAsiaTheme="majorEastAsia" w:hAnsiTheme="majorEastAsia" w:cstheme="majorEastAsia" w:hint="eastAsia"/>
                <w:sz w:val="21"/>
                <w:szCs w:val="21"/>
              </w:rPr>
              <w:t>人，</w:t>
            </w:r>
            <w:r>
              <w:rPr>
                <w:rFonts w:asciiTheme="majorEastAsia" w:eastAsiaTheme="majorEastAsia" w:hAnsiTheme="majorEastAsia" w:cstheme="majorEastAsia" w:hint="eastAsia"/>
                <w:sz w:val="21"/>
                <w:szCs w:val="21"/>
              </w:rPr>
              <w:t>40</w:t>
            </w:r>
            <w:r>
              <w:rPr>
                <w:rFonts w:asciiTheme="majorEastAsia" w:eastAsiaTheme="majorEastAsia" w:hAnsiTheme="majorEastAsia" w:cstheme="majorEastAsia" w:hint="eastAsia"/>
                <w:sz w:val="21"/>
                <w:szCs w:val="21"/>
              </w:rPr>
              <w:t>课时</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5</w:t>
            </w:r>
            <w:r>
              <w:rPr>
                <w:rFonts w:asciiTheme="majorEastAsia" w:eastAsiaTheme="majorEastAsia" w:hAnsiTheme="majorEastAsia" w:cstheme="majorEastAsia" w:hint="eastAsia"/>
                <w:sz w:val="21"/>
                <w:szCs w:val="21"/>
              </w:rPr>
              <w:t>天</w:t>
            </w:r>
          </w:p>
        </w:tc>
        <w:tc>
          <w:tcPr>
            <w:tcW w:w="1843"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典型案例剖析</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体验式培训</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实地考察</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分组讨论分享</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专题论文</w:t>
            </w:r>
          </w:p>
        </w:tc>
        <w:tc>
          <w:tcPr>
            <w:tcW w:w="3402"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集中授课的师资须为该课程领域国内顶级水平的师资力量，原则上须正高职称；现场教学、体验式培训须安排与课程相对应的基地或医院相关工作负责人。</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从公立医院行政副职角度对模块内容进行针对性培训。</w:t>
            </w:r>
          </w:p>
        </w:tc>
        <w:tc>
          <w:tcPr>
            <w:tcW w:w="2551"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须有符合要求的专门培训教室或会议室。</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现场教学、实地考察、体验式培训须专门安排与课程对应的基地或医院进行培训。</w:t>
            </w:r>
          </w:p>
        </w:tc>
      </w:tr>
      <w:tr w:rsidR="00E06F90">
        <w:trPr>
          <w:trHeight w:val="930"/>
        </w:trPr>
        <w:tc>
          <w:tcPr>
            <w:tcW w:w="1276"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医药卫生及相关法律法规</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1785"/>
        </w:trPr>
        <w:tc>
          <w:tcPr>
            <w:tcW w:w="1276" w:type="dxa"/>
            <w:vMerge w:val="restart"/>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医学人文</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定制</w:t>
            </w:r>
            <w:r>
              <w:rPr>
                <w:rFonts w:asciiTheme="majorEastAsia" w:eastAsiaTheme="majorEastAsia" w:hAnsiTheme="majorEastAsia" w:cstheme="majorEastAsia" w:hint="eastAsia"/>
                <w:sz w:val="21"/>
                <w:szCs w:val="21"/>
              </w:rPr>
              <w:t>）</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医学人文学</w:t>
            </w:r>
          </w:p>
        </w:tc>
        <w:tc>
          <w:tcPr>
            <w:tcW w:w="1672"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后备人才班</w:t>
            </w:r>
            <w:r>
              <w:rPr>
                <w:rFonts w:asciiTheme="majorEastAsia" w:eastAsiaTheme="majorEastAsia" w:hAnsiTheme="majorEastAsia" w:cstheme="majorEastAsia" w:hint="eastAsia"/>
                <w:sz w:val="21"/>
                <w:szCs w:val="21"/>
              </w:rPr>
              <w:t>30</w:t>
            </w:r>
            <w:r>
              <w:rPr>
                <w:rFonts w:asciiTheme="majorEastAsia" w:eastAsiaTheme="majorEastAsia" w:hAnsiTheme="majorEastAsia" w:cstheme="majorEastAsia" w:hint="eastAsia"/>
                <w:sz w:val="21"/>
                <w:szCs w:val="21"/>
              </w:rPr>
              <w:t>人，</w:t>
            </w:r>
            <w:r>
              <w:rPr>
                <w:rFonts w:asciiTheme="majorEastAsia" w:eastAsiaTheme="majorEastAsia" w:hAnsiTheme="majorEastAsia" w:cstheme="majorEastAsia" w:hint="eastAsia"/>
                <w:sz w:val="21"/>
                <w:szCs w:val="21"/>
              </w:rPr>
              <w:t>32</w:t>
            </w:r>
            <w:r>
              <w:rPr>
                <w:rFonts w:asciiTheme="majorEastAsia" w:eastAsiaTheme="majorEastAsia" w:hAnsiTheme="majorEastAsia" w:cstheme="majorEastAsia" w:hint="eastAsia"/>
                <w:sz w:val="21"/>
                <w:szCs w:val="21"/>
              </w:rPr>
              <w:t>课时</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4</w:t>
            </w:r>
            <w:r>
              <w:rPr>
                <w:rFonts w:asciiTheme="majorEastAsia" w:eastAsiaTheme="majorEastAsia" w:hAnsiTheme="majorEastAsia" w:cstheme="majorEastAsia" w:hint="eastAsia"/>
                <w:sz w:val="21"/>
                <w:szCs w:val="21"/>
              </w:rPr>
              <w:t>天</w:t>
            </w:r>
          </w:p>
        </w:tc>
        <w:tc>
          <w:tcPr>
            <w:tcW w:w="1843"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典型案例剖析</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实地考察</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分组讨论分享</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专题论文</w:t>
            </w:r>
          </w:p>
        </w:tc>
        <w:tc>
          <w:tcPr>
            <w:tcW w:w="3402"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集中授课的师资须为该课程领域国内顶级水平的师资力量，原则上须正高职称；现场教学、体验式培训须安排与课程相对应的基地或医院相关工作负责人。</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从公立医院行政副职角度对模块内容进行针对性培训。</w:t>
            </w:r>
          </w:p>
        </w:tc>
        <w:tc>
          <w:tcPr>
            <w:tcW w:w="2551"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须有符合要求的专门培训教室或会议室。</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现场教学、实地考察、体验式培训须专门安排与课程对应的基地或医院进行培训。</w:t>
            </w:r>
          </w:p>
        </w:tc>
      </w:tr>
      <w:tr w:rsidR="00E06F90">
        <w:trPr>
          <w:trHeight w:val="1253"/>
        </w:trPr>
        <w:tc>
          <w:tcPr>
            <w:tcW w:w="1276" w:type="dxa"/>
            <w:vMerge/>
            <w:noWrap/>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医学伦理学</w:t>
            </w:r>
          </w:p>
        </w:tc>
        <w:tc>
          <w:tcPr>
            <w:tcW w:w="1672" w:type="dxa"/>
            <w:vMerge/>
            <w:noWrap/>
          </w:tcPr>
          <w:p w:rsidR="00E06F90" w:rsidRDefault="00E06F90">
            <w:pPr>
              <w:spacing w:line="400" w:lineRule="exact"/>
              <w:jc w:val="center"/>
              <w:rPr>
                <w:rFonts w:asciiTheme="majorEastAsia" w:eastAsiaTheme="majorEastAsia" w:hAnsiTheme="majorEastAsia" w:cstheme="majorEastAsia"/>
                <w:sz w:val="21"/>
                <w:szCs w:val="21"/>
              </w:rPr>
            </w:pPr>
          </w:p>
        </w:tc>
        <w:tc>
          <w:tcPr>
            <w:tcW w:w="1843" w:type="dxa"/>
            <w:vMerge/>
            <w:noWrap/>
          </w:tcPr>
          <w:p w:rsidR="00E06F90" w:rsidRDefault="00E06F90">
            <w:pPr>
              <w:spacing w:line="400" w:lineRule="exact"/>
              <w:rPr>
                <w:rFonts w:asciiTheme="majorEastAsia" w:eastAsiaTheme="majorEastAsia" w:hAnsiTheme="majorEastAsia" w:cstheme="majorEastAsia"/>
                <w:sz w:val="21"/>
                <w:szCs w:val="21"/>
              </w:rPr>
            </w:pPr>
          </w:p>
        </w:tc>
        <w:tc>
          <w:tcPr>
            <w:tcW w:w="3402"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c>
          <w:tcPr>
            <w:tcW w:w="2551" w:type="dxa"/>
            <w:vMerge/>
            <w:noWrap/>
            <w:vAlign w:val="center"/>
          </w:tcPr>
          <w:p w:rsidR="00E06F90" w:rsidRDefault="00E06F90">
            <w:pPr>
              <w:spacing w:line="400" w:lineRule="exact"/>
              <w:rPr>
                <w:rFonts w:asciiTheme="majorEastAsia" w:eastAsiaTheme="majorEastAsia" w:hAnsiTheme="majorEastAsia" w:cstheme="majorEastAsia"/>
                <w:sz w:val="21"/>
                <w:szCs w:val="21"/>
              </w:rPr>
            </w:pPr>
          </w:p>
        </w:tc>
      </w:tr>
      <w:tr w:rsidR="00E06F90">
        <w:trPr>
          <w:trHeight w:val="1253"/>
        </w:trPr>
        <w:tc>
          <w:tcPr>
            <w:tcW w:w="1276" w:type="dxa"/>
            <w:vMerge w:val="restart"/>
            <w:noWrap/>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lastRenderedPageBreak/>
              <w:t>现代医院管理</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定制</w:t>
            </w:r>
            <w:r>
              <w:rPr>
                <w:rFonts w:asciiTheme="majorEastAsia" w:eastAsiaTheme="majorEastAsia" w:hAnsiTheme="majorEastAsia" w:cstheme="majorEastAsia" w:hint="eastAsia"/>
                <w:sz w:val="21"/>
                <w:szCs w:val="21"/>
              </w:rPr>
              <w:t>）</w:t>
            </w: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管理学</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与组织行为学</w:t>
            </w:r>
          </w:p>
        </w:tc>
        <w:tc>
          <w:tcPr>
            <w:tcW w:w="1672" w:type="dxa"/>
            <w:vMerge w:val="restart"/>
            <w:noWrap/>
            <w:vAlign w:val="center"/>
          </w:tcPr>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sz w:val="21"/>
                <w:szCs w:val="21"/>
              </w:rPr>
              <w:t>后备人才班</w:t>
            </w:r>
            <w:r>
              <w:rPr>
                <w:rFonts w:asciiTheme="majorEastAsia" w:eastAsiaTheme="majorEastAsia" w:hAnsiTheme="majorEastAsia" w:cstheme="majorEastAsia" w:hint="eastAsia"/>
                <w:sz w:val="21"/>
                <w:szCs w:val="21"/>
              </w:rPr>
              <w:t>30</w:t>
            </w:r>
            <w:r>
              <w:rPr>
                <w:rFonts w:asciiTheme="majorEastAsia" w:eastAsiaTheme="majorEastAsia" w:hAnsiTheme="majorEastAsia" w:cstheme="majorEastAsia" w:hint="eastAsia"/>
                <w:sz w:val="21"/>
                <w:szCs w:val="21"/>
              </w:rPr>
              <w:t>人，</w:t>
            </w:r>
            <w:r>
              <w:rPr>
                <w:rFonts w:asciiTheme="majorEastAsia" w:eastAsiaTheme="majorEastAsia" w:hAnsiTheme="majorEastAsia" w:cstheme="majorEastAsia" w:hint="eastAsia"/>
                <w:sz w:val="21"/>
                <w:szCs w:val="21"/>
              </w:rPr>
              <w:t>1</w:t>
            </w:r>
            <w:r>
              <w:rPr>
                <w:rFonts w:asciiTheme="majorEastAsia" w:eastAsiaTheme="majorEastAsia" w:hAnsiTheme="majorEastAsia" w:cstheme="majorEastAsia" w:hint="eastAsia"/>
                <w:sz w:val="21"/>
                <w:szCs w:val="21"/>
              </w:rPr>
              <w:t>04</w:t>
            </w:r>
            <w:r>
              <w:rPr>
                <w:rFonts w:asciiTheme="majorEastAsia" w:eastAsiaTheme="majorEastAsia" w:hAnsiTheme="majorEastAsia" w:cstheme="majorEastAsia" w:hint="eastAsia"/>
                <w:sz w:val="21"/>
                <w:szCs w:val="21"/>
              </w:rPr>
              <w:t>课时</w:t>
            </w:r>
            <w:r>
              <w:rPr>
                <w:rFonts w:asciiTheme="majorEastAsia" w:eastAsiaTheme="majorEastAsia" w:hAnsiTheme="majorEastAsia" w:cstheme="majorEastAsia" w:hint="eastAsia"/>
                <w:sz w:val="21"/>
                <w:szCs w:val="21"/>
              </w:rPr>
              <w:t>，</w:t>
            </w:r>
            <w:r>
              <w:rPr>
                <w:rFonts w:asciiTheme="majorEastAsia" w:eastAsiaTheme="majorEastAsia" w:hAnsiTheme="majorEastAsia" w:cstheme="majorEastAsia" w:hint="eastAsia"/>
                <w:sz w:val="21"/>
                <w:szCs w:val="21"/>
              </w:rPr>
              <w:t>13</w:t>
            </w:r>
            <w:r>
              <w:rPr>
                <w:rFonts w:asciiTheme="majorEastAsia" w:eastAsiaTheme="majorEastAsia" w:hAnsiTheme="majorEastAsia" w:cstheme="majorEastAsia" w:hint="eastAsia"/>
                <w:sz w:val="21"/>
                <w:szCs w:val="21"/>
              </w:rPr>
              <w:t>天</w:t>
            </w:r>
          </w:p>
        </w:tc>
        <w:tc>
          <w:tcPr>
            <w:tcW w:w="1843" w:type="dxa"/>
            <w:vMerge w:val="restart"/>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实地考察</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沙盘模拟</w:t>
            </w:r>
          </w:p>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分组讨论分享</w:t>
            </w:r>
          </w:p>
          <w:p w:rsidR="00E06F90" w:rsidRDefault="00642B59">
            <w:pPr>
              <w:spacing w:line="400" w:lineRule="exact"/>
              <w:jc w:val="center"/>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sz w:val="21"/>
                <w:szCs w:val="21"/>
              </w:rPr>
              <w:t>专题论文</w:t>
            </w:r>
          </w:p>
        </w:tc>
        <w:tc>
          <w:tcPr>
            <w:tcW w:w="3402"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集中授课的师资须为该课程领域国内顶级水平的师资力量，原则上须正高职称；现代医院管理实务课程授课师资须为全国知名医院优秀管理者；现场教学、体验式培训须安排与课程相对应的基地或医院相关工作负责人。</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从公立医院行政副职角度对模块内容进行针对性培训，须有一定比例的案例讨论课程。</w:t>
            </w:r>
          </w:p>
        </w:tc>
        <w:tc>
          <w:tcPr>
            <w:tcW w:w="2551" w:type="dxa"/>
            <w:vMerge w:val="restart"/>
            <w:noWrap/>
            <w:vAlign w:val="center"/>
          </w:tcPr>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须有符合要求的专门培训教室或会议室。</w:t>
            </w:r>
          </w:p>
          <w:p w:rsidR="00E06F90" w:rsidRDefault="00642B59">
            <w:pPr>
              <w:spacing w:line="400" w:lineRule="exact"/>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现场教学、实地考察、体验式培训须专门安排与课程对应的基地或医院进行培训。</w:t>
            </w:r>
          </w:p>
        </w:tc>
      </w:tr>
      <w:tr w:rsidR="00E06F90">
        <w:trPr>
          <w:trHeight w:val="1253"/>
        </w:trPr>
        <w:tc>
          <w:tcPr>
            <w:tcW w:w="1276" w:type="dxa"/>
            <w:vMerge/>
            <w:noWrap/>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卫生事业管理</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3402" w:type="dxa"/>
            <w:vMerge/>
            <w:noWrap/>
          </w:tcPr>
          <w:p w:rsidR="00E06F90" w:rsidRDefault="00E06F90">
            <w:pPr>
              <w:spacing w:line="400" w:lineRule="exact"/>
              <w:rPr>
                <w:rFonts w:asciiTheme="majorEastAsia" w:eastAsiaTheme="majorEastAsia" w:hAnsiTheme="majorEastAsia" w:cstheme="majorEastAsia"/>
                <w:b/>
                <w:sz w:val="21"/>
                <w:szCs w:val="21"/>
              </w:rPr>
            </w:pPr>
          </w:p>
        </w:tc>
        <w:tc>
          <w:tcPr>
            <w:tcW w:w="2551" w:type="dxa"/>
            <w:vMerge/>
            <w:noWrap/>
          </w:tcPr>
          <w:p w:rsidR="00E06F90" w:rsidRDefault="00E06F90">
            <w:pPr>
              <w:spacing w:line="400" w:lineRule="exact"/>
              <w:rPr>
                <w:rFonts w:asciiTheme="majorEastAsia" w:eastAsiaTheme="majorEastAsia" w:hAnsiTheme="majorEastAsia" w:cstheme="majorEastAsia"/>
                <w:b/>
                <w:sz w:val="21"/>
                <w:szCs w:val="21"/>
              </w:rPr>
            </w:pPr>
          </w:p>
        </w:tc>
      </w:tr>
      <w:tr w:rsidR="00E06F90">
        <w:trPr>
          <w:trHeight w:val="1254"/>
        </w:trPr>
        <w:tc>
          <w:tcPr>
            <w:tcW w:w="1276" w:type="dxa"/>
            <w:vMerge/>
            <w:noWrap/>
          </w:tcPr>
          <w:p w:rsidR="00E06F90" w:rsidRDefault="00E06F90">
            <w:pPr>
              <w:spacing w:line="400" w:lineRule="exact"/>
              <w:jc w:val="center"/>
              <w:rPr>
                <w:rFonts w:asciiTheme="majorEastAsia" w:eastAsiaTheme="majorEastAsia" w:hAnsiTheme="majorEastAsia" w:cstheme="majorEastAsia"/>
                <w:b/>
                <w:sz w:val="21"/>
                <w:szCs w:val="21"/>
              </w:rPr>
            </w:pPr>
          </w:p>
        </w:tc>
        <w:tc>
          <w:tcPr>
            <w:tcW w:w="1985" w:type="dxa"/>
            <w:noWrap/>
            <w:vAlign w:val="center"/>
          </w:tcPr>
          <w:p w:rsidR="00E06F90" w:rsidRDefault="00642B59">
            <w:pPr>
              <w:spacing w:line="400" w:lineRule="exact"/>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现代医院管理实务</w:t>
            </w:r>
          </w:p>
        </w:tc>
        <w:tc>
          <w:tcPr>
            <w:tcW w:w="1672"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1843" w:type="dxa"/>
            <w:vMerge/>
            <w:noWrap/>
            <w:vAlign w:val="center"/>
          </w:tcPr>
          <w:p w:rsidR="00E06F90" w:rsidRDefault="00E06F90">
            <w:pPr>
              <w:spacing w:line="400" w:lineRule="exact"/>
              <w:jc w:val="center"/>
              <w:rPr>
                <w:rFonts w:asciiTheme="majorEastAsia" w:eastAsiaTheme="majorEastAsia" w:hAnsiTheme="majorEastAsia" w:cstheme="majorEastAsia"/>
                <w:b/>
                <w:sz w:val="21"/>
                <w:szCs w:val="21"/>
              </w:rPr>
            </w:pPr>
          </w:p>
        </w:tc>
        <w:tc>
          <w:tcPr>
            <w:tcW w:w="3402" w:type="dxa"/>
            <w:vMerge/>
            <w:noWrap/>
          </w:tcPr>
          <w:p w:rsidR="00E06F90" w:rsidRDefault="00E06F90">
            <w:pPr>
              <w:spacing w:line="400" w:lineRule="exact"/>
              <w:rPr>
                <w:rFonts w:asciiTheme="majorEastAsia" w:eastAsiaTheme="majorEastAsia" w:hAnsiTheme="majorEastAsia" w:cstheme="majorEastAsia"/>
                <w:b/>
                <w:sz w:val="21"/>
                <w:szCs w:val="21"/>
              </w:rPr>
            </w:pPr>
          </w:p>
        </w:tc>
        <w:tc>
          <w:tcPr>
            <w:tcW w:w="2551" w:type="dxa"/>
            <w:vMerge/>
            <w:noWrap/>
          </w:tcPr>
          <w:p w:rsidR="00E06F90" w:rsidRDefault="00E06F90">
            <w:pPr>
              <w:spacing w:line="400" w:lineRule="exact"/>
              <w:rPr>
                <w:rFonts w:asciiTheme="majorEastAsia" w:eastAsiaTheme="majorEastAsia" w:hAnsiTheme="majorEastAsia" w:cstheme="majorEastAsia"/>
                <w:b/>
                <w:sz w:val="21"/>
                <w:szCs w:val="21"/>
              </w:rPr>
            </w:pPr>
          </w:p>
        </w:tc>
      </w:tr>
    </w:tbl>
    <w:p w:rsidR="00E06F90" w:rsidRDefault="00E06F90">
      <w:pPr>
        <w:spacing w:line="360" w:lineRule="auto"/>
        <w:jc w:val="both"/>
        <w:rPr>
          <w:rFonts w:asciiTheme="majorEastAsia" w:eastAsiaTheme="majorEastAsia" w:hAnsiTheme="majorEastAsia" w:cstheme="majorEastAsia"/>
          <w:kern w:val="2"/>
          <w:sz w:val="32"/>
          <w:szCs w:val="32"/>
        </w:rPr>
      </w:pPr>
    </w:p>
    <w:p w:rsidR="00E06F90" w:rsidRDefault="00642B59">
      <w:pPr>
        <w:spacing w:line="360" w:lineRule="auto"/>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kern w:val="2"/>
          <w:sz w:val="32"/>
          <w:szCs w:val="32"/>
        </w:rPr>
        <w:t>培训课程主要内容一览表</w:t>
      </w:r>
    </w:p>
    <w:tbl>
      <w:tblPr>
        <w:tblStyle w:val="a4"/>
        <w:tblW w:w="12208" w:type="dxa"/>
        <w:jc w:val="center"/>
        <w:tblLayout w:type="fixed"/>
        <w:tblLook w:val="04A0"/>
      </w:tblPr>
      <w:tblGrid>
        <w:gridCol w:w="1852"/>
        <w:gridCol w:w="2741"/>
        <w:gridCol w:w="7615"/>
      </w:tblGrid>
      <w:tr w:rsidR="00E06F90">
        <w:trPr>
          <w:trHeight w:val="101"/>
          <w:jc w:val="center"/>
        </w:trPr>
        <w:tc>
          <w:tcPr>
            <w:tcW w:w="1852" w:type="dxa"/>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培训模块</w:t>
            </w:r>
            <w:r>
              <w:rPr>
                <w:rFonts w:asciiTheme="minorEastAsia" w:hAnsiTheme="minorEastAsia" w:cstheme="minorEastAsia" w:hint="eastAsia"/>
                <w:b/>
                <w:sz w:val="21"/>
                <w:szCs w:val="21"/>
              </w:rPr>
              <w:t>（包括但不限于）</w:t>
            </w:r>
          </w:p>
        </w:tc>
        <w:tc>
          <w:tcPr>
            <w:tcW w:w="2741" w:type="dxa"/>
            <w:noWrap/>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培训课程</w:t>
            </w:r>
            <w:r>
              <w:rPr>
                <w:rFonts w:asciiTheme="minorEastAsia" w:hAnsiTheme="minorEastAsia" w:cstheme="minorEastAsia" w:hint="eastAsia"/>
                <w:b/>
                <w:sz w:val="21"/>
                <w:szCs w:val="21"/>
              </w:rPr>
              <w:t>（包括但不限于）</w:t>
            </w:r>
          </w:p>
        </w:tc>
        <w:tc>
          <w:tcPr>
            <w:tcW w:w="7615" w:type="dxa"/>
            <w:noWrap/>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主要内容</w:t>
            </w:r>
          </w:p>
        </w:tc>
      </w:tr>
      <w:tr w:rsidR="00E06F90">
        <w:trPr>
          <w:trHeight w:val="101"/>
          <w:jc w:val="center"/>
        </w:trPr>
        <w:tc>
          <w:tcPr>
            <w:tcW w:w="1852" w:type="dxa"/>
            <w:vMerge w:val="restart"/>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党的建设</w:t>
            </w: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党建与党的领导</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中国共产党党史：百年艰辛与辉煌，锻造坚定信念；</w:t>
            </w:r>
          </w:p>
          <w:p w:rsidR="00E06F90" w:rsidRDefault="00642B59">
            <w:pPr>
              <w:spacing w:line="400" w:lineRule="exact"/>
              <w:jc w:val="left"/>
              <w:rPr>
                <w:rFonts w:asciiTheme="minorEastAsia" w:hAnsiTheme="minorEastAsia" w:cstheme="minorEastAsia"/>
                <w:sz w:val="21"/>
                <w:szCs w:val="21"/>
              </w:rPr>
            </w:pPr>
            <w:r>
              <w:rPr>
                <w:rFonts w:asciiTheme="minorEastAsia" w:hAnsiTheme="minorEastAsia" w:cstheme="minorEastAsia" w:hint="eastAsia"/>
                <w:sz w:val="21"/>
                <w:szCs w:val="21"/>
              </w:rPr>
              <w:t>党的领导：习近平新时代中国特色社会主义思想；</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党的建设：政治建设、思想建设、组织建设、作风建设、纪律建设和制度建设。</w:t>
            </w:r>
          </w:p>
        </w:tc>
      </w:tr>
      <w:tr w:rsidR="00E06F90">
        <w:trPr>
          <w:trHeight w:val="2380"/>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公立医院党建</w:t>
            </w:r>
            <w:r>
              <w:rPr>
                <w:rFonts w:asciiTheme="minorEastAsia" w:hAnsiTheme="minorEastAsia" w:cstheme="minorEastAsia" w:hint="eastAsia"/>
                <w:sz w:val="21"/>
                <w:szCs w:val="21"/>
              </w:rPr>
              <w:t>、</w:t>
            </w:r>
          </w:p>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党风党纪与廉政</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公立医院党委领导下的院长负责制实践和思考，</w:t>
            </w:r>
            <w:r>
              <w:rPr>
                <w:rFonts w:asciiTheme="minorEastAsia" w:hAnsiTheme="minorEastAsia" w:cstheme="minorEastAsia" w:hint="eastAsia"/>
                <w:sz w:val="21"/>
                <w:szCs w:val="21"/>
              </w:rPr>
              <w:t>以典型案例梳理政策</w:t>
            </w:r>
            <w:r>
              <w:rPr>
                <w:rFonts w:asciiTheme="minorEastAsia" w:hAnsiTheme="minorEastAsia" w:cstheme="minorEastAsia" w:hint="eastAsia"/>
                <w:sz w:val="21"/>
                <w:szCs w:val="21"/>
              </w:rPr>
              <w:t>，</w:t>
            </w:r>
            <w:r>
              <w:rPr>
                <w:rFonts w:asciiTheme="minorEastAsia" w:hAnsiTheme="minorEastAsia" w:cstheme="minorEastAsia" w:hint="eastAsia"/>
                <w:sz w:val="21"/>
                <w:szCs w:val="21"/>
              </w:rPr>
              <w:t>把握要点。</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《中国共产党廉洁自律准则》、《中国共产党纪律处分条例》等相关法律法规整体解读与要点解析；</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公立医院党风廉政事件案例剖析；</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如何实现党风廉政建设与公立医院管理水平提升的有机统一。</w:t>
            </w:r>
          </w:p>
        </w:tc>
      </w:tr>
      <w:tr w:rsidR="00E06F90">
        <w:trPr>
          <w:trHeight w:val="560"/>
          <w:jc w:val="center"/>
        </w:trPr>
        <w:tc>
          <w:tcPr>
            <w:tcW w:w="1852" w:type="dxa"/>
            <w:vMerge w:val="restart"/>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政府治理</w:t>
            </w: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中国政府与政治</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新时代国家治理体系与十九大报告解读；</w:t>
            </w:r>
          </w:p>
          <w:p w:rsidR="00E06F90" w:rsidRDefault="00642B59">
            <w:pPr>
              <w:spacing w:line="400" w:lineRule="exact"/>
              <w:jc w:val="left"/>
              <w:rPr>
                <w:rFonts w:asciiTheme="minorEastAsia" w:hAnsiTheme="minorEastAsia" w:cstheme="minorEastAsia"/>
                <w:sz w:val="21"/>
                <w:szCs w:val="21"/>
              </w:rPr>
            </w:pPr>
            <w:r>
              <w:rPr>
                <w:rFonts w:asciiTheme="minorEastAsia" w:hAnsiTheme="minorEastAsia" w:cstheme="minorEastAsia" w:hint="eastAsia"/>
                <w:sz w:val="21"/>
                <w:szCs w:val="21"/>
              </w:rPr>
              <w:t>十四五规划和</w:t>
            </w:r>
            <w:r>
              <w:rPr>
                <w:rFonts w:asciiTheme="minorEastAsia" w:hAnsiTheme="minorEastAsia" w:cstheme="minorEastAsia" w:hint="eastAsia"/>
                <w:sz w:val="21"/>
                <w:szCs w:val="21"/>
              </w:rPr>
              <w:t>2035</w:t>
            </w:r>
            <w:r>
              <w:rPr>
                <w:rFonts w:asciiTheme="minorEastAsia" w:hAnsiTheme="minorEastAsia" w:cstheme="minorEastAsia" w:hint="eastAsia"/>
                <w:sz w:val="21"/>
                <w:szCs w:val="21"/>
              </w:rPr>
              <w:t>年远景目标解读；</w:t>
            </w:r>
          </w:p>
          <w:p w:rsidR="00E06F90" w:rsidRDefault="00642B59">
            <w:pPr>
              <w:spacing w:line="400" w:lineRule="exact"/>
              <w:jc w:val="left"/>
              <w:rPr>
                <w:rFonts w:asciiTheme="minorEastAsia" w:hAnsiTheme="minorEastAsia" w:cstheme="minorEastAsia"/>
                <w:sz w:val="21"/>
                <w:szCs w:val="21"/>
              </w:rPr>
            </w:pPr>
            <w:r>
              <w:rPr>
                <w:rFonts w:asciiTheme="minorEastAsia" w:hAnsiTheme="minorEastAsia" w:cstheme="minorEastAsia" w:hint="eastAsia"/>
                <w:sz w:val="21"/>
                <w:szCs w:val="21"/>
              </w:rPr>
              <w:t>习近平谈治国理政；新发展理念；</w:t>
            </w:r>
          </w:p>
          <w:p w:rsidR="00E06F90" w:rsidRDefault="00642B59">
            <w:pPr>
              <w:rPr>
                <w:rFonts w:asciiTheme="minorEastAsia" w:hAnsiTheme="minorEastAsia" w:cstheme="minorEastAsia"/>
                <w:sz w:val="21"/>
                <w:szCs w:val="21"/>
              </w:rPr>
            </w:pPr>
            <w:r>
              <w:rPr>
                <w:rFonts w:asciiTheme="minorEastAsia" w:hAnsiTheme="minorEastAsia" w:cstheme="minorEastAsia" w:hint="eastAsia"/>
                <w:sz w:val="21"/>
                <w:szCs w:val="21"/>
              </w:rPr>
              <w:t>国际战略和宏观经济形势分析；</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公立医院治理能力现代化。</w:t>
            </w:r>
          </w:p>
        </w:tc>
      </w:tr>
      <w:tr w:rsidR="00E06F90">
        <w:trPr>
          <w:trHeight w:val="76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政治经济学原理</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用政治经济学基本原理与现代化强国建设，国际国内双循环、高质量发展。</w:t>
            </w:r>
          </w:p>
        </w:tc>
      </w:tr>
      <w:tr w:rsidR="00E06F90">
        <w:trPr>
          <w:trHeight w:val="10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粤港澳大湾区战略</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大湾区、大战略</w:t>
            </w:r>
            <w:r>
              <w:rPr>
                <w:rFonts w:asciiTheme="minorEastAsia" w:hAnsiTheme="minorEastAsia" w:cstheme="minorEastAsia" w:hint="eastAsia"/>
                <w:sz w:val="21"/>
                <w:szCs w:val="21"/>
              </w:rPr>
              <w:t>-</w:t>
            </w:r>
            <w:r>
              <w:rPr>
                <w:rFonts w:asciiTheme="minorEastAsia" w:hAnsiTheme="minorEastAsia" w:cstheme="minorEastAsia" w:hint="eastAsia"/>
                <w:sz w:val="21"/>
                <w:szCs w:val="21"/>
              </w:rPr>
              <w:t>规划纲要的宏观背景、战略意义、主要内涵；</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规划纲要中卫生健康事业的战略落脚点与实施切入点。</w:t>
            </w:r>
          </w:p>
        </w:tc>
      </w:tr>
      <w:tr w:rsidR="00E06F90">
        <w:trPr>
          <w:trHeight w:val="10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先行示范区建设</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更高起点、更高层次、更高目标，新实践、新路径</w:t>
            </w:r>
            <w:r>
              <w:rPr>
                <w:rFonts w:asciiTheme="minorEastAsia" w:hAnsiTheme="minorEastAsia" w:cstheme="minorEastAsia" w:hint="eastAsia"/>
                <w:sz w:val="21"/>
                <w:szCs w:val="21"/>
              </w:rPr>
              <w:t>-</w:t>
            </w:r>
            <w:r>
              <w:rPr>
                <w:rFonts w:asciiTheme="minorEastAsia" w:hAnsiTheme="minorEastAsia" w:cstheme="minorEastAsia" w:hint="eastAsia"/>
                <w:sz w:val="21"/>
                <w:szCs w:val="21"/>
              </w:rPr>
              <w:t>先行示范区建设的战略定位与主要内涵；</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如何在健康深圳建设中实现“先行”与“示范”。</w:t>
            </w:r>
          </w:p>
        </w:tc>
      </w:tr>
      <w:tr w:rsidR="00E06F90">
        <w:trPr>
          <w:trHeight w:val="101"/>
          <w:jc w:val="center"/>
        </w:trPr>
        <w:tc>
          <w:tcPr>
            <w:tcW w:w="1852" w:type="dxa"/>
            <w:vMerge w:val="restart"/>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政策法规</w:t>
            </w: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医药卫生体制改革及相关政策</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战略环境扫描</w:t>
            </w:r>
            <w:r>
              <w:rPr>
                <w:rFonts w:asciiTheme="minorEastAsia" w:hAnsiTheme="minorEastAsia" w:cstheme="minorEastAsia" w:hint="eastAsia"/>
                <w:sz w:val="21"/>
                <w:szCs w:val="21"/>
              </w:rPr>
              <w:t>-</w:t>
            </w:r>
            <w:proofErr w:type="gramStart"/>
            <w:r>
              <w:rPr>
                <w:rFonts w:asciiTheme="minorEastAsia" w:hAnsiTheme="minorEastAsia" w:cstheme="minorEastAsia" w:hint="eastAsia"/>
                <w:sz w:val="21"/>
                <w:szCs w:val="21"/>
              </w:rPr>
              <w:t>医改核心</w:t>
            </w:r>
            <w:proofErr w:type="gramEnd"/>
            <w:r>
              <w:rPr>
                <w:rFonts w:asciiTheme="minorEastAsia" w:hAnsiTheme="minorEastAsia" w:cstheme="minorEastAsia" w:hint="eastAsia"/>
                <w:sz w:val="21"/>
                <w:szCs w:val="21"/>
              </w:rPr>
              <w:t>政策梳理、主要成效及改革困境；</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战略路径探析</w:t>
            </w:r>
            <w:r>
              <w:rPr>
                <w:rFonts w:asciiTheme="minorEastAsia" w:hAnsiTheme="minorEastAsia" w:cstheme="minorEastAsia" w:hint="eastAsia"/>
                <w:sz w:val="21"/>
                <w:szCs w:val="21"/>
              </w:rPr>
              <w:t>-</w:t>
            </w:r>
            <w:r>
              <w:rPr>
                <w:rFonts w:asciiTheme="minorEastAsia" w:hAnsiTheme="minorEastAsia" w:cstheme="minorEastAsia" w:hint="eastAsia"/>
                <w:sz w:val="21"/>
                <w:szCs w:val="21"/>
              </w:rPr>
              <w:t>医药卫生体制改革未来思路探讨；</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lastRenderedPageBreak/>
              <w:t>公共卫生政策的演变和未来发展趋势；</w:t>
            </w:r>
          </w:p>
          <w:p w:rsidR="00E06F90" w:rsidRDefault="00642B59">
            <w:pPr>
              <w:spacing w:line="400" w:lineRule="exact"/>
              <w:rPr>
                <w:rFonts w:asciiTheme="minorEastAsia" w:hAnsiTheme="minorEastAsia" w:cstheme="minorEastAsia"/>
                <w:sz w:val="21"/>
                <w:szCs w:val="21"/>
              </w:rPr>
            </w:pPr>
            <w:proofErr w:type="gramStart"/>
            <w:r>
              <w:rPr>
                <w:rFonts w:asciiTheme="minorEastAsia" w:hAnsiTheme="minorEastAsia" w:cstheme="minorEastAsia" w:hint="eastAsia"/>
                <w:sz w:val="21"/>
                <w:szCs w:val="21"/>
              </w:rPr>
              <w:t>医</w:t>
            </w:r>
            <w:proofErr w:type="gramEnd"/>
            <w:r>
              <w:rPr>
                <w:rFonts w:asciiTheme="minorEastAsia" w:hAnsiTheme="minorEastAsia" w:cstheme="minorEastAsia" w:hint="eastAsia"/>
                <w:sz w:val="21"/>
                <w:szCs w:val="21"/>
              </w:rPr>
              <w:t>保政策解读和发展趋势。</w:t>
            </w:r>
          </w:p>
        </w:tc>
      </w:tr>
      <w:tr w:rsidR="00E06F90">
        <w:trPr>
          <w:trHeight w:val="10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医药卫生及相关法律法规</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行业主要法律法规核心内容释义、适应原则</w:t>
            </w:r>
            <w:r>
              <w:rPr>
                <w:rFonts w:asciiTheme="minorEastAsia" w:hAnsiTheme="minorEastAsia" w:cstheme="minorEastAsia" w:hint="eastAsia"/>
                <w:sz w:val="21"/>
                <w:szCs w:val="21"/>
              </w:rPr>
              <w:t>；</w:t>
            </w:r>
          </w:p>
          <w:p w:rsidR="00E06F90" w:rsidRDefault="00642B59">
            <w:pPr>
              <w:spacing w:line="400" w:lineRule="exact"/>
              <w:rPr>
                <w:rFonts w:asciiTheme="minorEastAsia" w:hAnsiTheme="minorEastAsia" w:cstheme="minorEastAsia"/>
                <w:sz w:val="21"/>
                <w:szCs w:val="21"/>
              </w:rPr>
            </w:pPr>
            <w:proofErr w:type="gramStart"/>
            <w:r>
              <w:rPr>
                <w:rFonts w:asciiTheme="minorEastAsia" w:hAnsiTheme="minorEastAsia" w:cstheme="minorEastAsia" w:hint="eastAsia"/>
                <w:sz w:val="21"/>
                <w:szCs w:val="21"/>
              </w:rPr>
              <w:t>医</w:t>
            </w:r>
            <w:proofErr w:type="gramEnd"/>
            <w:r>
              <w:rPr>
                <w:rFonts w:asciiTheme="minorEastAsia" w:hAnsiTheme="minorEastAsia" w:cstheme="minorEastAsia" w:hint="eastAsia"/>
                <w:sz w:val="21"/>
                <w:szCs w:val="21"/>
              </w:rPr>
              <w:t>患矛盾和媒体应对、公众演讲技巧</w:t>
            </w:r>
            <w:r>
              <w:rPr>
                <w:rFonts w:asciiTheme="minorEastAsia" w:hAnsiTheme="minorEastAsia" w:cstheme="minorEastAsia" w:hint="eastAsia"/>
                <w:sz w:val="21"/>
                <w:szCs w:val="21"/>
              </w:rPr>
              <w:t>；</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防范化解卫生健康领域重大风险。</w:t>
            </w:r>
          </w:p>
        </w:tc>
      </w:tr>
      <w:tr w:rsidR="00E06F90">
        <w:trPr>
          <w:trHeight w:val="658"/>
          <w:jc w:val="center"/>
        </w:trPr>
        <w:tc>
          <w:tcPr>
            <w:tcW w:w="1852" w:type="dxa"/>
            <w:vMerge w:val="restart"/>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医学人文</w:t>
            </w: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医学人文学</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医学人文主要内容解读；</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加强医学人文建设要点；</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如何建设</w:t>
            </w:r>
            <w:proofErr w:type="gramStart"/>
            <w:r>
              <w:rPr>
                <w:rFonts w:asciiTheme="minorEastAsia" w:hAnsiTheme="minorEastAsia" w:cstheme="minorEastAsia" w:hint="eastAsia"/>
                <w:sz w:val="21"/>
                <w:szCs w:val="21"/>
              </w:rPr>
              <w:t>一</w:t>
            </w:r>
            <w:proofErr w:type="gramEnd"/>
            <w:r>
              <w:rPr>
                <w:rFonts w:asciiTheme="minorEastAsia" w:hAnsiTheme="minorEastAsia" w:cstheme="minorEastAsia" w:hint="eastAsia"/>
                <w:sz w:val="21"/>
                <w:szCs w:val="21"/>
              </w:rPr>
              <w:t>所有温度的公立医院。</w:t>
            </w:r>
          </w:p>
        </w:tc>
      </w:tr>
      <w:tr w:rsidR="00E06F90">
        <w:trPr>
          <w:trHeight w:val="10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医学伦理学</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医学伦理发展历史及主要内容；</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医学伦理</w:t>
            </w:r>
            <w:r>
              <w:rPr>
                <w:rFonts w:asciiTheme="minorEastAsia" w:hAnsiTheme="minorEastAsia" w:cstheme="minorEastAsia" w:hint="eastAsia"/>
                <w:sz w:val="21"/>
                <w:szCs w:val="21"/>
              </w:rPr>
              <w:t>相关事件和案例解读；</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医学伦理的现实意义与公立医院管理等。</w:t>
            </w:r>
          </w:p>
        </w:tc>
      </w:tr>
      <w:tr w:rsidR="00E06F90">
        <w:trPr>
          <w:trHeight w:val="101"/>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传统文化</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传统文化和国学经典</w:t>
            </w:r>
            <w:r>
              <w:rPr>
                <w:rFonts w:asciiTheme="minorEastAsia" w:hAnsiTheme="minorEastAsia" w:cstheme="minorEastAsia" w:hint="eastAsia"/>
                <w:sz w:val="21"/>
                <w:szCs w:val="21"/>
              </w:rPr>
              <w:t>；</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中医药文化</w:t>
            </w:r>
            <w:r>
              <w:rPr>
                <w:rFonts w:asciiTheme="minorEastAsia" w:hAnsiTheme="minorEastAsia" w:cstheme="minorEastAsia" w:hint="eastAsia"/>
                <w:sz w:val="21"/>
                <w:szCs w:val="21"/>
              </w:rPr>
              <w:t>；</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公立医院文化建设。</w:t>
            </w:r>
          </w:p>
        </w:tc>
      </w:tr>
      <w:tr w:rsidR="00E06F90">
        <w:trPr>
          <w:trHeight w:val="658"/>
          <w:jc w:val="center"/>
        </w:trPr>
        <w:tc>
          <w:tcPr>
            <w:tcW w:w="1852" w:type="dxa"/>
            <w:vMerge w:val="restart"/>
            <w:noWrap/>
            <w:vAlign w:val="center"/>
          </w:tcPr>
          <w:p w:rsidR="00E06F90" w:rsidRDefault="00642B59">
            <w:pPr>
              <w:spacing w:line="4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现代医院管理</w:t>
            </w: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管理学与组织行为学</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管理学创新与发展趋势；</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组织行为学内涵；</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管理创新与组织行为学在公立医院管理中的应用等。</w:t>
            </w:r>
          </w:p>
        </w:tc>
      </w:tr>
      <w:tr w:rsidR="00E06F90">
        <w:trPr>
          <w:trHeight w:val="144"/>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卫生事业管理</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卫生事业管理内涵和原理；</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卫生</w:t>
            </w:r>
            <w:r>
              <w:rPr>
                <w:rFonts w:asciiTheme="minorEastAsia" w:hAnsiTheme="minorEastAsia" w:cstheme="minorEastAsia" w:hint="eastAsia"/>
                <w:sz w:val="21"/>
                <w:szCs w:val="21"/>
              </w:rPr>
              <w:t>相关理论与方法；</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卫生事业管理创新等。</w:t>
            </w:r>
          </w:p>
        </w:tc>
      </w:tr>
      <w:tr w:rsidR="00E06F90">
        <w:trPr>
          <w:trHeight w:val="144"/>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现代医院管理实务</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现代医院管理制度解读</w:t>
            </w:r>
            <w:r>
              <w:rPr>
                <w:rFonts w:asciiTheme="minorEastAsia" w:hAnsiTheme="minorEastAsia" w:cstheme="minorEastAsia" w:hint="eastAsia"/>
                <w:sz w:val="21"/>
                <w:szCs w:val="21"/>
              </w:rPr>
              <w:t>，</w:t>
            </w:r>
            <w:r>
              <w:rPr>
                <w:rFonts w:asciiTheme="minorEastAsia" w:hAnsiTheme="minorEastAsia" w:cstheme="minorEastAsia" w:hint="eastAsia"/>
                <w:sz w:val="21"/>
                <w:szCs w:val="21"/>
              </w:rPr>
              <w:t>医院管理理论创新</w:t>
            </w:r>
            <w:r>
              <w:rPr>
                <w:rFonts w:asciiTheme="minorEastAsia" w:hAnsiTheme="minorEastAsia" w:cstheme="minorEastAsia" w:hint="eastAsia"/>
                <w:sz w:val="21"/>
                <w:szCs w:val="21"/>
              </w:rPr>
              <w:t>，</w:t>
            </w:r>
            <w:r>
              <w:rPr>
                <w:rFonts w:asciiTheme="minorEastAsia" w:hAnsiTheme="minorEastAsia" w:cstheme="minorEastAsia" w:hint="eastAsia"/>
                <w:sz w:val="21"/>
                <w:szCs w:val="21"/>
              </w:rPr>
              <w:t>公立医院高质量发展</w:t>
            </w:r>
            <w:r>
              <w:rPr>
                <w:rFonts w:asciiTheme="minorEastAsia" w:hAnsiTheme="minorEastAsia" w:cstheme="minorEastAsia" w:hint="eastAsia"/>
                <w:sz w:val="21"/>
                <w:szCs w:val="21"/>
              </w:rPr>
              <w:t>，</w:t>
            </w:r>
            <w:r>
              <w:rPr>
                <w:rFonts w:asciiTheme="minorEastAsia" w:hAnsiTheme="minorEastAsia" w:cstheme="minorEastAsia" w:hint="eastAsia"/>
                <w:sz w:val="21"/>
                <w:szCs w:val="21"/>
              </w:rPr>
              <w:t>公立医院绩效考核</w:t>
            </w:r>
            <w:r>
              <w:rPr>
                <w:rFonts w:asciiTheme="minorEastAsia" w:hAnsiTheme="minorEastAsia" w:cstheme="minorEastAsia" w:hint="eastAsia"/>
                <w:sz w:val="21"/>
                <w:szCs w:val="21"/>
              </w:rPr>
              <w:t>，</w:t>
            </w:r>
            <w:r>
              <w:rPr>
                <w:rFonts w:asciiTheme="minorEastAsia" w:hAnsiTheme="minorEastAsia" w:cstheme="minorEastAsia" w:hint="eastAsia"/>
                <w:sz w:val="21"/>
                <w:szCs w:val="21"/>
              </w:rPr>
              <w:t>研究型医院建设</w:t>
            </w:r>
            <w:r>
              <w:rPr>
                <w:rFonts w:asciiTheme="minorEastAsia" w:hAnsiTheme="minorEastAsia" w:cstheme="minorEastAsia" w:hint="eastAsia"/>
                <w:sz w:val="21"/>
                <w:szCs w:val="21"/>
              </w:rPr>
              <w:t>，</w:t>
            </w:r>
            <w:r>
              <w:rPr>
                <w:rFonts w:asciiTheme="minorEastAsia" w:hAnsiTheme="minorEastAsia" w:cstheme="minorEastAsia" w:hint="eastAsia"/>
                <w:sz w:val="21"/>
                <w:szCs w:val="21"/>
              </w:rPr>
              <w:t>现代医院管理典型案例介绍，现代医院人力资源、财务、运营、后勤管理，医院精细化管理，国际化医疗中心建设，</w:t>
            </w:r>
            <w:proofErr w:type="gramStart"/>
            <w:r>
              <w:rPr>
                <w:rFonts w:asciiTheme="minorEastAsia" w:hAnsiTheme="minorEastAsia" w:cstheme="minorEastAsia" w:hint="eastAsia"/>
                <w:sz w:val="21"/>
                <w:szCs w:val="21"/>
              </w:rPr>
              <w:t>医</w:t>
            </w:r>
            <w:proofErr w:type="gramEnd"/>
            <w:r>
              <w:rPr>
                <w:rFonts w:asciiTheme="minorEastAsia" w:hAnsiTheme="minorEastAsia" w:cstheme="minorEastAsia" w:hint="eastAsia"/>
                <w:sz w:val="21"/>
                <w:szCs w:val="21"/>
              </w:rPr>
              <w:t>防融合和公立医院应急能力建设</w:t>
            </w:r>
            <w:r>
              <w:rPr>
                <w:rFonts w:asciiTheme="minorEastAsia" w:hAnsiTheme="minorEastAsia" w:cstheme="minorEastAsia" w:hint="eastAsia"/>
                <w:sz w:val="21"/>
                <w:szCs w:val="21"/>
              </w:rPr>
              <w:t>，</w:t>
            </w:r>
            <w:r>
              <w:rPr>
                <w:rFonts w:asciiTheme="minorEastAsia" w:hAnsiTheme="minorEastAsia" w:cstheme="minorEastAsia" w:hint="eastAsia"/>
                <w:sz w:val="21"/>
                <w:szCs w:val="21"/>
              </w:rPr>
              <w:t>中医药传承创新发展等。</w:t>
            </w:r>
          </w:p>
        </w:tc>
      </w:tr>
      <w:tr w:rsidR="00E06F90">
        <w:trPr>
          <w:trHeight w:val="144"/>
          <w:jc w:val="center"/>
        </w:trPr>
        <w:tc>
          <w:tcPr>
            <w:tcW w:w="1852" w:type="dxa"/>
            <w:vMerge/>
            <w:noWrap/>
            <w:vAlign w:val="center"/>
          </w:tcPr>
          <w:p w:rsidR="00E06F90" w:rsidRDefault="00E06F90">
            <w:pPr>
              <w:spacing w:line="400" w:lineRule="exact"/>
              <w:jc w:val="center"/>
              <w:rPr>
                <w:rFonts w:asciiTheme="minorEastAsia" w:hAnsiTheme="minorEastAsia" w:cstheme="minorEastAsia"/>
                <w:b/>
                <w:sz w:val="21"/>
                <w:szCs w:val="21"/>
              </w:rPr>
            </w:pPr>
          </w:p>
        </w:tc>
        <w:tc>
          <w:tcPr>
            <w:tcW w:w="2741" w:type="dxa"/>
            <w:noWrap/>
            <w:vAlign w:val="center"/>
          </w:tcPr>
          <w:p w:rsidR="00E06F90" w:rsidRDefault="00642B59">
            <w:pPr>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公立医院高质量发展</w:t>
            </w:r>
          </w:p>
        </w:tc>
        <w:tc>
          <w:tcPr>
            <w:tcW w:w="7615" w:type="dxa"/>
            <w:noWrap/>
            <w:vAlign w:val="center"/>
          </w:tcPr>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国家医学中心和区域医疗中心建设；高水平医院建设；临床重点学（专）科建设；学科人才梯队建设；精细化运营管理体系建设；医疗服务价格和</w:t>
            </w:r>
            <w:proofErr w:type="gramStart"/>
            <w:r>
              <w:rPr>
                <w:rFonts w:asciiTheme="minorEastAsia" w:hAnsiTheme="minorEastAsia" w:cstheme="minorEastAsia" w:hint="eastAsia"/>
                <w:sz w:val="21"/>
                <w:szCs w:val="21"/>
              </w:rPr>
              <w:t>医保</w:t>
            </w:r>
            <w:proofErr w:type="gramEnd"/>
            <w:r>
              <w:rPr>
                <w:rFonts w:asciiTheme="minorEastAsia" w:hAnsiTheme="minorEastAsia" w:cstheme="minorEastAsia" w:hint="eastAsia"/>
                <w:sz w:val="21"/>
                <w:szCs w:val="21"/>
              </w:rPr>
              <w:t>支付方式改革创新；精益技术和崇高职业精神；</w:t>
            </w:r>
            <w:r>
              <w:rPr>
                <w:rFonts w:asciiTheme="minorEastAsia" w:hAnsiTheme="minorEastAsia" w:cstheme="minorEastAsia" w:hint="eastAsia"/>
                <w:sz w:val="21"/>
                <w:szCs w:val="21"/>
              </w:rPr>
              <w:t>公立医院领导班子和干部人才队伍建设等。</w:t>
            </w:r>
          </w:p>
        </w:tc>
      </w:tr>
    </w:tbl>
    <w:p w:rsidR="00E06F90" w:rsidRDefault="00E06F90">
      <w:pPr>
        <w:spacing w:line="360" w:lineRule="auto"/>
        <w:rPr>
          <w:rFonts w:asciiTheme="minorEastAsia" w:hAnsiTheme="minorEastAsia" w:cstheme="minorEastAsia"/>
          <w:sz w:val="21"/>
          <w:szCs w:val="21"/>
        </w:rPr>
      </w:pPr>
    </w:p>
    <w:p w:rsidR="00E06F90" w:rsidRDefault="00E06F90">
      <w:pPr>
        <w:spacing w:line="360" w:lineRule="auto"/>
        <w:rPr>
          <w:rFonts w:asciiTheme="minorEastAsia" w:hAnsiTheme="minorEastAsia" w:cstheme="minorEastAsia"/>
          <w:sz w:val="21"/>
          <w:szCs w:val="21"/>
        </w:rPr>
      </w:pPr>
    </w:p>
    <w:p w:rsidR="00E06F90" w:rsidRDefault="00E06F90">
      <w:pPr>
        <w:spacing w:line="360" w:lineRule="auto"/>
        <w:rPr>
          <w:rFonts w:asciiTheme="minorEastAsia" w:hAnsiTheme="minorEastAsia" w:cstheme="minorEastAsia"/>
          <w:sz w:val="21"/>
          <w:szCs w:val="21"/>
        </w:rPr>
      </w:pPr>
    </w:p>
    <w:p w:rsidR="00E06F90" w:rsidRDefault="00642B59">
      <w:pPr>
        <w:spacing w:line="360" w:lineRule="auto"/>
        <w:rPr>
          <w:rFonts w:asciiTheme="minorEastAsia" w:hAnsiTheme="minorEastAsia" w:cstheme="minorEastAsia"/>
          <w:sz w:val="21"/>
          <w:szCs w:val="21"/>
        </w:rPr>
      </w:pPr>
      <w:r>
        <w:rPr>
          <w:rFonts w:asciiTheme="minorEastAsia" w:hAnsiTheme="minorEastAsia" w:cstheme="minorEastAsia" w:hint="eastAsia"/>
          <w:sz w:val="21"/>
          <w:szCs w:val="21"/>
        </w:rPr>
        <w:t>投标资料要求：</w:t>
      </w:r>
    </w:p>
    <w:p w:rsidR="00E06F90" w:rsidRDefault="00642B59">
      <w:pPr>
        <w:spacing w:line="360" w:lineRule="auto"/>
        <w:rPr>
          <w:rFonts w:asciiTheme="minorEastAsia" w:hAnsiTheme="minorEastAsia" w:cstheme="minorEastAsia"/>
          <w:b/>
          <w:bCs/>
          <w:sz w:val="21"/>
          <w:szCs w:val="21"/>
        </w:rPr>
      </w:pPr>
      <w:r>
        <w:rPr>
          <w:rFonts w:asciiTheme="minorEastAsia" w:hAnsiTheme="minorEastAsia" w:cstheme="minorEastAsia" w:hint="eastAsia"/>
          <w:b/>
          <w:bCs/>
          <w:sz w:val="21"/>
          <w:szCs w:val="21"/>
        </w:rPr>
        <w:t>1.</w:t>
      </w:r>
      <w:r>
        <w:rPr>
          <w:rFonts w:asciiTheme="minorEastAsia" w:hAnsiTheme="minorEastAsia" w:cstheme="minorEastAsia" w:hint="eastAsia"/>
          <w:b/>
          <w:bCs/>
          <w:sz w:val="21"/>
          <w:szCs w:val="21"/>
        </w:rPr>
        <w:t>以上培训五大模块</w:t>
      </w:r>
      <w:r>
        <w:rPr>
          <w:rFonts w:asciiTheme="minorEastAsia" w:hAnsiTheme="minorEastAsia" w:cstheme="minorEastAsia" w:hint="eastAsia"/>
          <w:b/>
          <w:bCs/>
          <w:sz w:val="21"/>
          <w:szCs w:val="21"/>
        </w:rPr>
        <w:t>240</w:t>
      </w:r>
      <w:r>
        <w:rPr>
          <w:rFonts w:asciiTheme="minorEastAsia" w:hAnsiTheme="minorEastAsia" w:cstheme="minorEastAsia" w:hint="eastAsia"/>
          <w:b/>
          <w:bCs/>
          <w:sz w:val="21"/>
          <w:szCs w:val="21"/>
        </w:rPr>
        <w:t>个学时课程内容，</w:t>
      </w:r>
      <w:r>
        <w:rPr>
          <w:rFonts w:asciiTheme="minorEastAsia" w:hAnsiTheme="minorEastAsia" w:cstheme="minorEastAsia" w:hint="eastAsia"/>
          <w:b/>
          <w:bCs/>
          <w:sz w:val="21"/>
          <w:szCs w:val="21"/>
        </w:rPr>
        <w:t>在深圳授课的学时数</w:t>
      </w:r>
      <w:r>
        <w:rPr>
          <w:rFonts w:asciiTheme="minorEastAsia" w:hAnsiTheme="minorEastAsia" w:cstheme="minorEastAsia" w:hint="eastAsia"/>
          <w:b/>
          <w:bCs/>
          <w:sz w:val="21"/>
          <w:szCs w:val="21"/>
        </w:rPr>
        <w:t>共</w:t>
      </w:r>
      <w:r>
        <w:rPr>
          <w:rFonts w:asciiTheme="minorEastAsia" w:hAnsiTheme="minorEastAsia" w:cstheme="minorEastAsia" w:hint="eastAsia"/>
          <w:b/>
          <w:bCs/>
          <w:sz w:val="21"/>
          <w:szCs w:val="21"/>
        </w:rPr>
        <w:t>72</w:t>
      </w:r>
      <w:r>
        <w:rPr>
          <w:rFonts w:asciiTheme="minorEastAsia" w:hAnsiTheme="minorEastAsia" w:cstheme="minorEastAsia" w:hint="eastAsia"/>
          <w:b/>
          <w:bCs/>
          <w:sz w:val="21"/>
          <w:szCs w:val="21"/>
        </w:rPr>
        <w:t>个学时，</w:t>
      </w:r>
      <w:r>
        <w:rPr>
          <w:rFonts w:asciiTheme="minorEastAsia" w:hAnsiTheme="minorEastAsia" w:cstheme="minorEastAsia" w:hint="eastAsia"/>
          <w:b/>
          <w:bCs/>
          <w:sz w:val="21"/>
          <w:szCs w:val="21"/>
        </w:rPr>
        <w:t>分</w:t>
      </w:r>
      <w:r>
        <w:rPr>
          <w:rFonts w:asciiTheme="minorEastAsia" w:hAnsiTheme="minorEastAsia" w:cstheme="minorEastAsia" w:hint="eastAsia"/>
          <w:b/>
          <w:bCs/>
          <w:sz w:val="21"/>
          <w:szCs w:val="21"/>
        </w:rPr>
        <w:t>3</w:t>
      </w:r>
      <w:r>
        <w:rPr>
          <w:rFonts w:asciiTheme="minorEastAsia" w:hAnsiTheme="minorEastAsia" w:cstheme="minorEastAsia" w:hint="eastAsia"/>
          <w:b/>
          <w:bCs/>
          <w:sz w:val="21"/>
          <w:szCs w:val="21"/>
        </w:rPr>
        <w:t>次课，每次</w:t>
      </w:r>
      <w:r>
        <w:rPr>
          <w:rFonts w:asciiTheme="minorEastAsia" w:hAnsiTheme="minorEastAsia" w:cstheme="minorEastAsia" w:hint="eastAsia"/>
          <w:b/>
          <w:bCs/>
          <w:sz w:val="21"/>
          <w:szCs w:val="21"/>
        </w:rPr>
        <w:t>3</w:t>
      </w:r>
      <w:r>
        <w:rPr>
          <w:rFonts w:asciiTheme="minorEastAsia" w:hAnsiTheme="minorEastAsia" w:cstheme="minorEastAsia" w:hint="eastAsia"/>
          <w:b/>
          <w:bCs/>
          <w:sz w:val="21"/>
          <w:szCs w:val="21"/>
        </w:rPr>
        <w:t>天。</w:t>
      </w:r>
      <w:r>
        <w:rPr>
          <w:rFonts w:asciiTheme="minorEastAsia" w:hAnsiTheme="minorEastAsia" w:cstheme="minorEastAsia" w:hint="eastAsia"/>
          <w:b/>
          <w:bCs/>
          <w:sz w:val="21"/>
          <w:szCs w:val="21"/>
        </w:rPr>
        <w:t>其余课程授课地点由采购人可根据</w:t>
      </w:r>
      <w:r>
        <w:rPr>
          <w:rFonts w:asciiTheme="minorEastAsia" w:hAnsiTheme="minorEastAsia" w:cstheme="minorEastAsia" w:hint="eastAsia"/>
          <w:b/>
          <w:bCs/>
          <w:sz w:val="21"/>
          <w:szCs w:val="21"/>
        </w:rPr>
        <w:t>实际</w:t>
      </w:r>
      <w:r>
        <w:rPr>
          <w:rFonts w:asciiTheme="minorEastAsia" w:hAnsiTheme="minorEastAsia" w:cstheme="minorEastAsia" w:hint="eastAsia"/>
          <w:b/>
          <w:bCs/>
          <w:sz w:val="21"/>
          <w:szCs w:val="21"/>
        </w:rPr>
        <w:t>工作</w:t>
      </w:r>
      <w:r>
        <w:rPr>
          <w:rFonts w:asciiTheme="minorEastAsia" w:hAnsiTheme="minorEastAsia" w:cstheme="minorEastAsia" w:hint="eastAsia"/>
          <w:b/>
          <w:bCs/>
          <w:sz w:val="21"/>
          <w:szCs w:val="21"/>
        </w:rPr>
        <w:t>情况</w:t>
      </w:r>
      <w:r>
        <w:rPr>
          <w:rFonts w:asciiTheme="minorEastAsia" w:hAnsiTheme="minorEastAsia" w:cstheme="minorEastAsia" w:hint="eastAsia"/>
          <w:b/>
          <w:bCs/>
          <w:sz w:val="21"/>
          <w:szCs w:val="21"/>
        </w:rPr>
        <w:t>等对培训</w:t>
      </w:r>
      <w:r>
        <w:rPr>
          <w:rFonts w:asciiTheme="minorEastAsia" w:hAnsiTheme="minorEastAsia" w:cstheme="minorEastAsia" w:hint="eastAsia"/>
          <w:b/>
          <w:bCs/>
          <w:sz w:val="21"/>
          <w:szCs w:val="21"/>
        </w:rPr>
        <w:t>时间、培训</w:t>
      </w:r>
      <w:r>
        <w:rPr>
          <w:rFonts w:asciiTheme="minorEastAsia" w:hAnsiTheme="minorEastAsia" w:cstheme="minorEastAsia" w:hint="eastAsia"/>
          <w:b/>
          <w:bCs/>
          <w:sz w:val="21"/>
          <w:szCs w:val="21"/>
        </w:rPr>
        <w:t>地点做适</w:t>
      </w:r>
      <w:r>
        <w:rPr>
          <w:rFonts w:asciiTheme="minorEastAsia" w:hAnsiTheme="minorEastAsia" w:cstheme="minorEastAsia" w:hint="eastAsia"/>
          <w:b/>
          <w:bCs/>
          <w:sz w:val="21"/>
          <w:szCs w:val="21"/>
        </w:rPr>
        <w:t>当</w:t>
      </w:r>
      <w:r>
        <w:rPr>
          <w:rFonts w:asciiTheme="minorEastAsia" w:hAnsiTheme="minorEastAsia" w:cstheme="minorEastAsia" w:hint="eastAsia"/>
          <w:b/>
          <w:bCs/>
          <w:sz w:val="21"/>
          <w:szCs w:val="21"/>
        </w:rPr>
        <w:t>调整。</w:t>
      </w:r>
    </w:p>
    <w:p w:rsidR="00E06F90" w:rsidRDefault="00642B59">
      <w:pPr>
        <w:spacing w:line="400" w:lineRule="exact"/>
        <w:rPr>
          <w:rFonts w:asciiTheme="minorEastAsia" w:hAnsiTheme="minorEastAsia" w:cstheme="minorEastAsia"/>
          <w:sz w:val="21"/>
          <w:szCs w:val="21"/>
        </w:rPr>
      </w:pPr>
      <w:r>
        <w:rPr>
          <w:rFonts w:asciiTheme="minorEastAsia" w:hAnsiTheme="minorEastAsia" w:cstheme="minorEastAsia" w:hint="eastAsia"/>
          <w:sz w:val="21"/>
          <w:szCs w:val="21"/>
        </w:rPr>
        <w:t>2.</w:t>
      </w:r>
      <w:r>
        <w:rPr>
          <w:rFonts w:asciiTheme="minorEastAsia" w:hAnsiTheme="minorEastAsia" w:cstheme="minorEastAsia" w:hint="eastAsia"/>
          <w:sz w:val="21"/>
          <w:szCs w:val="21"/>
        </w:rPr>
        <w:t>投标人需针对上述培训课程内容提供《培训计划书》、《项目实施计划书》。《项目计划书制定》须完整提供计划思想、实施原则、培训规划、培训模块、培训体系、培训方式、培训评估、培训安排、培训预算等。</w:t>
      </w:r>
    </w:p>
    <w:p w:rsidR="00E06F90" w:rsidRDefault="00E06F90">
      <w:pPr>
        <w:rPr>
          <w:rFonts w:asciiTheme="minorEastAsia" w:hAnsiTheme="minorEastAsia" w:cstheme="minorEastAsia"/>
          <w:sz w:val="21"/>
          <w:szCs w:val="21"/>
        </w:rPr>
      </w:pPr>
    </w:p>
    <w:p w:rsidR="00E06F90" w:rsidRDefault="00E06F90">
      <w:pPr>
        <w:pStyle w:val="3"/>
        <w:sectPr w:rsidR="00E06F90">
          <w:pgSz w:w="16838" w:h="11906" w:orient="landscape"/>
          <w:pgMar w:top="1797" w:right="1440" w:bottom="1797" w:left="1440" w:header="851" w:footer="992" w:gutter="0"/>
          <w:cols w:space="425"/>
          <w:docGrid w:type="linesAndChars" w:linePitch="312"/>
        </w:sectPr>
      </w:pPr>
    </w:p>
    <w:p w:rsidR="00E06F90" w:rsidRDefault="00642B59">
      <w:pPr>
        <w:pStyle w:val="3"/>
      </w:pPr>
      <w:r>
        <w:rPr>
          <w:rFonts w:hint="eastAsia"/>
        </w:rPr>
        <w:lastRenderedPageBreak/>
        <w:t>项目商务要求</w:t>
      </w:r>
      <w:bookmarkEnd w:id="7"/>
      <w:bookmarkEnd w:id="8"/>
      <w:bookmarkEnd w:id="9"/>
      <w:bookmarkEnd w:id="10"/>
    </w:p>
    <w:p w:rsidR="00E06F90" w:rsidRDefault="00642B59">
      <w:pPr>
        <w:pStyle w:val="4"/>
        <w:rPr>
          <w:color w:val="FF0000"/>
        </w:rPr>
      </w:pPr>
      <w:r>
        <w:rPr>
          <w:rFonts w:hint="eastAsia"/>
        </w:rPr>
        <w:t>1</w:t>
      </w:r>
      <w:r>
        <w:rPr>
          <w:rFonts w:hint="eastAsia"/>
        </w:rPr>
        <w:t>、服务期限、地点要求</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服务期限：本批次培训服务自合同签订之日起</w:t>
      </w:r>
      <w:r>
        <w:rPr>
          <w:rFonts w:ascii="宋体" w:eastAsia="宋体" w:hAnsi="宋体" w:cs="宋体" w:hint="eastAsia"/>
          <w:sz w:val="21"/>
          <w:szCs w:val="21"/>
        </w:rPr>
        <w:t>12</w:t>
      </w:r>
      <w:r>
        <w:rPr>
          <w:rFonts w:ascii="宋体" w:eastAsia="宋体" w:hAnsi="宋体" w:cs="宋体" w:hint="eastAsia"/>
          <w:sz w:val="21"/>
          <w:szCs w:val="21"/>
        </w:rPr>
        <w:t>个月内完成。</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服务期限要求：中标方可</w:t>
      </w:r>
      <w:proofErr w:type="gramStart"/>
      <w:r>
        <w:rPr>
          <w:rFonts w:ascii="宋体" w:eastAsia="宋体" w:hAnsi="宋体" w:cs="宋体" w:hint="eastAsia"/>
          <w:sz w:val="21"/>
          <w:szCs w:val="21"/>
        </w:rPr>
        <w:t>做为</w:t>
      </w:r>
      <w:proofErr w:type="gramEnd"/>
      <w:r>
        <w:rPr>
          <w:rFonts w:ascii="宋体" w:eastAsia="宋体" w:hAnsi="宋体" w:cs="宋体" w:hint="eastAsia"/>
          <w:sz w:val="21"/>
          <w:szCs w:val="21"/>
        </w:rPr>
        <w:t>长期合作对象提供培训服务，本批次培训合同到期后，采购人可根据供应商履约情况续签</w:t>
      </w:r>
      <w:r>
        <w:rPr>
          <w:rFonts w:ascii="宋体" w:eastAsia="宋体" w:hAnsi="宋体" w:cs="宋体" w:hint="eastAsia"/>
          <w:sz w:val="21"/>
          <w:szCs w:val="21"/>
        </w:rPr>
        <w:t>下一</w:t>
      </w:r>
      <w:r>
        <w:rPr>
          <w:rFonts w:ascii="宋体" w:eastAsia="宋体" w:hAnsi="宋体" w:cs="宋体" w:hint="eastAsia"/>
          <w:sz w:val="21"/>
          <w:szCs w:val="21"/>
        </w:rPr>
        <w:t>批次（</w:t>
      </w:r>
      <w:r>
        <w:rPr>
          <w:rFonts w:ascii="宋体" w:eastAsia="宋体" w:hAnsi="宋体" w:cs="宋体" w:hint="eastAsia"/>
          <w:sz w:val="21"/>
          <w:szCs w:val="21"/>
        </w:rPr>
        <w:t>即</w:t>
      </w:r>
      <w:r w:rsidRPr="00642B59">
        <w:rPr>
          <w:rFonts w:ascii="宋体" w:eastAsia="宋体" w:hAnsi="宋体" w:cs="宋体" w:hint="eastAsia"/>
          <w:sz w:val="21"/>
          <w:szCs w:val="21"/>
        </w:rPr>
        <w:t>第五批次</w:t>
      </w:r>
      <w:r>
        <w:rPr>
          <w:rFonts w:ascii="宋体" w:eastAsia="宋体" w:hAnsi="宋体" w:cs="宋体" w:hint="eastAsia"/>
          <w:sz w:val="21"/>
          <w:szCs w:val="21"/>
        </w:rPr>
        <w:t>）培训项目合同，且续签次数不超过</w:t>
      </w:r>
      <w:r>
        <w:rPr>
          <w:rFonts w:ascii="宋体" w:eastAsia="宋体" w:hAnsi="宋体" w:cs="宋体"/>
          <w:sz w:val="21"/>
          <w:szCs w:val="21"/>
        </w:rPr>
        <w:t>2</w:t>
      </w:r>
      <w:r>
        <w:rPr>
          <w:rFonts w:ascii="宋体" w:eastAsia="宋体" w:hAnsi="宋体" w:cs="宋体"/>
          <w:sz w:val="21"/>
          <w:szCs w:val="21"/>
        </w:rPr>
        <w:t>次</w:t>
      </w:r>
      <w:r>
        <w:rPr>
          <w:rFonts w:ascii="宋体" w:eastAsia="宋体" w:hAnsi="宋体" w:cs="宋体" w:hint="eastAsia"/>
          <w:sz w:val="21"/>
          <w:szCs w:val="21"/>
        </w:rPr>
        <w:t>。但合同的履行期限不得超过</w:t>
      </w:r>
      <w:r>
        <w:rPr>
          <w:rFonts w:ascii="宋体" w:eastAsia="宋体" w:hAnsi="宋体" w:cs="宋体" w:hint="eastAsia"/>
          <w:sz w:val="21"/>
          <w:szCs w:val="21"/>
        </w:rPr>
        <w:t>36</w:t>
      </w:r>
      <w:r>
        <w:rPr>
          <w:rFonts w:ascii="宋体" w:eastAsia="宋体" w:hAnsi="宋体" w:cs="宋体" w:hint="eastAsia"/>
          <w:sz w:val="21"/>
          <w:szCs w:val="21"/>
        </w:rPr>
        <w:t>个月。</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服务</w:t>
      </w:r>
      <w:r>
        <w:rPr>
          <w:rFonts w:ascii="宋体" w:eastAsia="宋体" w:hAnsi="宋体" w:cs="宋体"/>
          <w:sz w:val="21"/>
          <w:szCs w:val="21"/>
        </w:rPr>
        <w:t>地点</w:t>
      </w:r>
      <w:r>
        <w:rPr>
          <w:rFonts w:ascii="宋体" w:eastAsia="宋体" w:hAnsi="宋体" w:cs="宋体" w:hint="eastAsia"/>
          <w:sz w:val="21"/>
          <w:szCs w:val="21"/>
        </w:rPr>
        <w:t>：上海、杭州、</w:t>
      </w:r>
      <w:r w:rsidRPr="00642B59">
        <w:rPr>
          <w:rFonts w:ascii="宋体" w:eastAsia="宋体" w:hAnsi="宋体" w:cs="宋体" w:hint="eastAsia"/>
          <w:sz w:val="21"/>
          <w:szCs w:val="21"/>
        </w:rPr>
        <w:t>北京</w:t>
      </w:r>
      <w:r>
        <w:rPr>
          <w:rFonts w:ascii="宋体" w:eastAsia="宋体" w:hAnsi="宋体" w:cs="宋体" w:hint="eastAsia"/>
          <w:sz w:val="21"/>
          <w:szCs w:val="21"/>
        </w:rPr>
        <w:t>、</w:t>
      </w:r>
      <w:r>
        <w:rPr>
          <w:rFonts w:ascii="宋体" w:eastAsia="宋体" w:hAnsi="宋体" w:cs="宋体" w:hint="eastAsia"/>
          <w:sz w:val="21"/>
          <w:szCs w:val="21"/>
        </w:rPr>
        <w:t>深圳等。</w:t>
      </w:r>
    </w:p>
    <w:p w:rsidR="00E06F90" w:rsidRDefault="00642B59">
      <w:pPr>
        <w:pStyle w:val="4"/>
      </w:pPr>
      <w:r>
        <w:rPr>
          <w:rFonts w:hint="eastAsia"/>
        </w:rPr>
        <w:t>2</w:t>
      </w:r>
      <w:r>
        <w:rPr>
          <w:rFonts w:hint="eastAsia"/>
        </w:rPr>
        <w:t>、</w:t>
      </w:r>
      <w:r>
        <w:t>付款方</w:t>
      </w:r>
      <w:r>
        <w:rPr>
          <w:rFonts w:hint="eastAsia"/>
        </w:rPr>
        <w:t>式</w:t>
      </w:r>
    </w:p>
    <w:p w:rsidR="00E06F90" w:rsidRDefault="00642B59" w:rsidP="00642B59">
      <w:pPr>
        <w:widowControl w:val="0"/>
        <w:spacing w:afterLines="20" w:line="400" w:lineRule="exact"/>
        <w:ind w:leftChars="170" w:left="408"/>
        <w:jc w:val="both"/>
        <w:rPr>
          <w:rFonts w:eastAsia="宋体"/>
          <w:kern w:val="2"/>
          <w:sz w:val="21"/>
        </w:rPr>
      </w:pPr>
      <w:r>
        <w:rPr>
          <w:rFonts w:eastAsia="宋体" w:hint="eastAsia"/>
          <w:kern w:val="2"/>
          <w:sz w:val="21"/>
        </w:rPr>
        <w:t>合同签订后</w:t>
      </w:r>
      <w:r>
        <w:rPr>
          <w:rFonts w:eastAsia="宋体" w:hint="eastAsia"/>
          <w:kern w:val="2"/>
          <w:sz w:val="21"/>
        </w:rPr>
        <w:t>15</w:t>
      </w:r>
      <w:r>
        <w:rPr>
          <w:rFonts w:eastAsia="宋体" w:hint="eastAsia"/>
          <w:kern w:val="2"/>
          <w:sz w:val="21"/>
        </w:rPr>
        <w:t>个工作日内</w:t>
      </w:r>
      <w:r>
        <w:rPr>
          <w:rFonts w:eastAsia="宋体" w:hint="eastAsia"/>
          <w:kern w:val="2"/>
          <w:sz w:val="21"/>
        </w:rPr>
        <w:t>支</w:t>
      </w:r>
      <w:r>
        <w:rPr>
          <w:rFonts w:eastAsia="宋体" w:hint="eastAsia"/>
          <w:kern w:val="2"/>
          <w:sz w:val="21"/>
        </w:rPr>
        <w:t>付</w:t>
      </w:r>
      <w:r>
        <w:rPr>
          <w:rFonts w:eastAsia="宋体"/>
          <w:kern w:val="2"/>
          <w:sz w:val="21"/>
        </w:rPr>
        <w:t>6</w:t>
      </w:r>
      <w:r>
        <w:rPr>
          <w:rFonts w:eastAsia="宋体" w:hint="eastAsia"/>
          <w:kern w:val="2"/>
          <w:sz w:val="21"/>
        </w:rPr>
        <w:t>0%</w:t>
      </w:r>
      <w:r>
        <w:rPr>
          <w:rFonts w:eastAsia="宋体" w:hint="eastAsia"/>
          <w:kern w:val="2"/>
          <w:sz w:val="21"/>
        </w:rPr>
        <w:t>，项目</w:t>
      </w:r>
      <w:r>
        <w:rPr>
          <w:rFonts w:eastAsia="宋体" w:hint="eastAsia"/>
          <w:kern w:val="2"/>
          <w:sz w:val="21"/>
        </w:rPr>
        <w:t>验收合格</w:t>
      </w:r>
      <w:r>
        <w:rPr>
          <w:rFonts w:eastAsia="宋体" w:hint="eastAsia"/>
          <w:kern w:val="2"/>
          <w:sz w:val="21"/>
        </w:rPr>
        <w:t>后</w:t>
      </w:r>
      <w:r>
        <w:rPr>
          <w:rFonts w:eastAsia="宋体" w:hint="eastAsia"/>
          <w:kern w:val="2"/>
          <w:sz w:val="21"/>
        </w:rPr>
        <w:t>支</w:t>
      </w:r>
      <w:r>
        <w:rPr>
          <w:rFonts w:eastAsia="宋体" w:hint="eastAsia"/>
          <w:kern w:val="2"/>
          <w:sz w:val="21"/>
        </w:rPr>
        <w:t>付</w:t>
      </w:r>
      <w:r>
        <w:rPr>
          <w:rFonts w:eastAsia="宋体"/>
          <w:kern w:val="2"/>
          <w:sz w:val="21"/>
        </w:rPr>
        <w:t>4</w:t>
      </w:r>
      <w:r>
        <w:rPr>
          <w:rFonts w:eastAsia="宋体" w:hint="eastAsia"/>
          <w:kern w:val="2"/>
          <w:sz w:val="21"/>
        </w:rPr>
        <w:t>0%</w:t>
      </w:r>
      <w:r>
        <w:rPr>
          <w:rFonts w:eastAsia="宋体" w:hint="eastAsia"/>
          <w:kern w:val="2"/>
          <w:sz w:val="21"/>
        </w:rPr>
        <w:t>。</w:t>
      </w:r>
    </w:p>
    <w:p w:rsidR="00E06F90" w:rsidRDefault="00642B59">
      <w:pPr>
        <w:pStyle w:val="4"/>
      </w:pPr>
      <w:r>
        <w:rPr>
          <w:rFonts w:hint="eastAsia"/>
        </w:rPr>
        <w:t>3</w:t>
      </w:r>
      <w:r>
        <w:rPr>
          <w:rFonts w:hint="eastAsia"/>
        </w:rPr>
        <w:t>、考核要求</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作业</w:t>
      </w:r>
      <w:r>
        <w:rPr>
          <w:rFonts w:ascii="宋体" w:eastAsia="宋体" w:hAnsi="宋体" w:cs="宋体" w:hint="eastAsia"/>
          <w:sz w:val="21"/>
          <w:szCs w:val="21"/>
        </w:rPr>
        <w:t>/</w:t>
      </w:r>
      <w:r>
        <w:rPr>
          <w:rFonts w:ascii="宋体" w:eastAsia="宋体" w:hAnsi="宋体" w:cs="宋体" w:hint="eastAsia"/>
          <w:sz w:val="21"/>
          <w:szCs w:val="21"/>
        </w:rPr>
        <w:t>考核完成率达</w:t>
      </w:r>
      <w:r>
        <w:rPr>
          <w:rFonts w:ascii="宋体" w:eastAsia="宋体" w:hAnsi="宋体" w:cs="宋体" w:hint="eastAsia"/>
          <w:sz w:val="21"/>
          <w:szCs w:val="21"/>
        </w:rPr>
        <w:t>95%</w:t>
      </w:r>
      <w:r>
        <w:rPr>
          <w:rFonts w:ascii="宋体" w:eastAsia="宋体" w:hAnsi="宋体" w:cs="宋体" w:hint="eastAsia"/>
          <w:sz w:val="21"/>
          <w:szCs w:val="21"/>
        </w:rPr>
        <w:t>以上，成绩合格率达</w:t>
      </w:r>
      <w:r>
        <w:rPr>
          <w:rFonts w:ascii="宋体" w:eastAsia="宋体" w:hAnsi="宋体" w:cs="宋体" w:hint="eastAsia"/>
          <w:sz w:val="21"/>
          <w:szCs w:val="21"/>
        </w:rPr>
        <w:t>95%</w:t>
      </w:r>
      <w:r>
        <w:rPr>
          <w:rFonts w:ascii="宋体" w:eastAsia="宋体" w:hAnsi="宋体" w:cs="宋体" w:hint="eastAsia"/>
          <w:sz w:val="21"/>
          <w:szCs w:val="21"/>
        </w:rPr>
        <w:t>以上。</w:t>
      </w:r>
    </w:p>
    <w:p w:rsidR="00E06F90" w:rsidRDefault="00642B59" w:rsidP="00642B59">
      <w:pPr>
        <w:widowControl w:val="0"/>
        <w:spacing w:afterLines="20" w:line="400" w:lineRule="exact"/>
        <w:ind w:leftChars="170" w:left="408"/>
        <w:jc w:val="both"/>
        <w:rPr>
          <w:rFonts w:ascii="宋体" w:eastAsia="宋体" w:hAnsi="宋体" w:cs="宋体"/>
          <w:kern w:val="2"/>
          <w:sz w:val="21"/>
          <w:szCs w:val="21"/>
        </w:rPr>
      </w:pPr>
      <w:r>
        <w:rPr>
          <w:rFonts w:ascii="宋体" w:eastAsia="宋体" w:hAnsi="宋体" w:cs="宋体" w:hint="eastAsia"/>
          <w:kern w:val="2"/>
          <w:sz w:val="21"/>
          <w:szCs w:val="21"/>
        </w:rPr>
        <w:t>2.</w:t>
      </w:r>
      <w:r>
        <w:rPr>
          <w:rFonts w:ascii="宋体" w:eastAsia="宋体" w:hAnsi="宋体" w:cs="宋体" w:hint="eastAsia"/>
          <w:kern w:val="2"/>
          <w:sz w:val="21"/>
          <w:szCs w:val="21"/>
        </w:rPr>
        <w:t>作业</w:t>
      </w:r>
      <w:r>
        <w:rPr>
          <w:rFonts w:ascii="宋体" w:eastAsia="宋体" w:hAnsi="宋体" w:cs="宋体" w:hint="eastAsia"/>
          <w:kern w:val="2"/>
          <w:sz w:val="21"/>
          <w:szCs w:val="21"/>
        </w:rPr>
        <w:t>/</w:t>
      </w:r>
      <w:r>
        <w:rPr>
          <w:rFonts w:ascii="宋体" w:eastAsia="宋体" w:hAnsi="宋体" w:cs="宋体" w:hint="eastAsia"/>
          <w:kern w:val="2"/>
          <w:sz w:val="21"/>
          <w:szCs w:val="21"/>
        </w:rPr>
        <w:t>考核汇报会中的培训成果展示达到良好效果，采购人认可。</w:t>
      </w:r>
    </w:p>
    <w:p w:rsidR="00E06F90" w:rsidRDefault="00642B59">
      <w:pPr>
        <w:pStyle w:val="4"/>
      </w:pPr>
      <w:r>
        <w:rPr>
          <w:rFonts w:hint="eastAsia"/>
        </w:rPr>
        <w:t>4</w:t>
      </w:r>
      <w:r>
        <w:rPr>
          <w:rFonts w:hint="eastAsia"/>
        </w:rPr>
        <w:t>、培训要求</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授课师资构成中，如中标单位为高校，则外校体系的师资占比不少于</w:t>
      </w:r>
      <w:r>
        <w:rPr>
          <w:rFonts w:ascii="宋体" w:eastAsia="宋体" w:hAnsi="宋体" w:cs="宋体" w:hint="eastAsia"/>
          <w:sz w:val="21"/>
          <w:szCs w:val="21"/>
        </w:rPr>
        <w:t xml:space="preserve"> 50%</w:t>
      </w:r>
      <w:r>
        <w:rPr>
          <w:rFonts w:ascii="宋体" w:eastAsia="宋体" w:hAnsi="宋体" w:cs="宋体" w:hint="eastAsia"/>
          <w:sz w:val="21"/>
          <w:szCs w:val="21"/>
        </w:rPr>
        <w:t>。</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培训过程中提供师资介绍、纸质讲义、学习用具等，做好课前调研、考勤签到、作业管理、学分管理等教学服务工作，并报甲方确认。</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提供教学所需的培训场地、电教设备、茶歇</w:t>
      </w:r>
      <w:r>
        <w:rPr>
          <w:rFonts w:ascii="宋体" w:eastAsia="宋体" w:hAnsi="宋体" w:cs="宋体" w:hint="eastAsia"/>
          <w:sz w:val="21"/>
          <w:szCs w:val="21"/>
        </w:rPr>
        <w:t>（包括但不限于</w:t>
      </w:r>
      <w:r>
        <w:rPr>
          <w:rFonts w:ascii="宋体" w:eastAsia="宋体" w:hAnsi="宋体" w:cs="宋体" w:hint="eastAsia"/>
          <w:sz w:val="21"/>
          <w:szCs w:val="21"/>
        </w:rPr>
        <w:t>咖啡、茶、饼干、面包、时令水果</w:t>
      </w:r>
      <w:r>
        <w:rPr>
          <w:rFonts w:ascii="宋体" w:eastAsia="宋体" w:hAnsi="宋体" w:cs="宋体" w:hint="eastAsia"/>
          <w:sz w:val="21"/>
          <w:szCs w:val="21"/>
        </w:rPr>
        <w:t>2</w:t>
      </w:r>
      <w:r>
        <w:rPr>
          <w:rFonts w:ascii="宋体" w:eastAsia="宋体" w:hAnsi="宋体" w:cs="宋体" w:hint="eastAsia"/>
          <w:sz w:val="21"/>
          <w:szCs w:val="21"/>
        </w:rPr>
        <w:t>种</w:t>
      </w:r>
      <w:r>
        <w:rPr>
          <w:rFonts w:ascii="宋体" w:eastAsia="宋体" w:hAnsi="宋体" w:cs="宋体" w:hint="eastAsia"/>
          <w:sz w:val="21"/>
          <w:szCs w:val="21"/>
        </w:rPr>
        <w:t>等</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必要的教学资料（包括教授讲义、笔记本、笔等）</w:t>
      </w:r>
      <w:r>
        <w:rPr>
          <w:rFonts w:ascii="宋体" w:eastAsia="宋体" w:hAnsi="宋体" w:cs="宋体" w:hint="eastAsia"/>
          <w:sz w:val="21"/>
          <w:szCs w:val="21"/>
        </w:rPr>
        <w:t>、必要的</w:t>
      </w:r>
      <w:r>
        <w:rPr>
          <w:rFonts w:ascii="宋体" w:eastAsia="宋体" w:hAnsi="宋体" w:cs="宋体" w:hint="eastAsia"/>
          <w:sz w:val="21"/>
          <w:szCs w:val="21"/>
        </w:rPr>
        <w:t>常见</w:t>
      </w:r>
      <w:r>
        <w:rPr>
          <w:rFonts w:ascii="宋体" w:eastAsia="宋体" w:hAnsi="宋体" w:cs="宋体" w:hint="eastAsia"/>
          <w:sz w:val="21"/>
          <w:szCs w:val="21"/>
        </w:rPr>
        <w:t>药品</w:t>
      </w:r>
      <w:r>
        <w:rPr>
          <w:rFonts w:ascii="宋体" w:eastAsia="宋体" w:hAnsi="宋体" w:cs="宋体" w:hint="eastAsia"/>
          <w:sz w:val="21"/>
          <w:szCs w:val="21"/>
        </w:rPr>
        <w:t>（</w:t>
      </w:r>
      <w:r>
        <w:rPr>
          <w:rFonts w:ascii="宋体" w:eastAsia="宋体" w:hAnsi="宋体" w:cs="宋体" w:hint="eastAsia"/>
          <w:sz w:val="21"/>
          <w:szCs w:val="21"/>
        </w:rPr>
        <w:t>包括但不限于感冒发烧、抗菌消炎、外伤用药</w:t>
      </w:r>
      <w:r>
        <w:rPr>
          <w:rFonts w:ascii="宋体" w:eastAsia="宋体" w:hAnsi="宋体" w:cs="宋体" w:hint="eastAsia"/>
          <w:sz w:val="21"/>
          <w:szCs w:val="21"/>
        </w:rPr>
        <w:t>）等</w:t>
      </w:r>
      <w:r>
        <w:rPr>
          <w:rFonts w:ascii="宋体" w:eastAsia="宋体" w:hAnsi="宋体" w:cs="宋体" w:hint="eastAsia"/>
          <w:sz w:val="21"/>
          <w:szCs w:val="21"/>
        </w:rPr>
        <w:t>，并做好相应的后勤服务工作。</w:t>
      </w:r>
    </w:p>
    <w:p w:rsidR="00E06F90" w:rsidRDefault="00642B59" w:rsidP="00642B59">
      <w:pPr>
        <w:widowControl w:val="0"/>
        <w:spacing w:afterLines="20" w:line="400" w:lineRule="exact"/>
        <w:ind w:leftChars="170" w:left="408"/>
        <w:jc w:val="both"/>
        <w:rPr>
          <w:rFonts w:ascii="宋体" w:eastAsia="宋体" w:hAnsi="宋体" w:cs="宋体"/>
          <w:kern w:val="2"/>
          <w:sz w:val="21"/>
          <w:szCs w:val="21"/>
        </w:rPr>
      </w:pPr>
      <w:r>
        <w:rPr>
          <w:rFonts w:ascii="宋体" w:eastAsia="宋体" w:hAnsi="宋体" w:cs="宋体" w:hint="eastAsia"/>
          <w:sz w:val="21"/>
          <w:szCs w:val="21"/>
        </w:rPr>
        <w:t>4.</w:t>
      </w:r>
      <w:r>
        <w:rPr>
          <w:rFonts w:ascii="宋体" w:eastAsia="宋体" w:hAnsi="宋体" w:cs="宋体" w:hint="eastAsia"/>
          <w:kern w:val="2"/>
          <w:sz w:val="21"/>
          <w:szCs w:val="21"/>
        </w:rPr>
        <w:t>培训过程中无一次教学事故发生。</w:t>
      </w:r>
      <w:bookmarkStart w:id="11" w:name="_GoBack"/>
      <w:bookmarkEnd w:id="11"/>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kern w:val="2"/>
          <w:sz w:val="21"/>
          <w:szCs w:val="21"/>
        </w:rPr>
        <w:t>5.</w:t>
      </w:r>
      <w:r>
        <w:rPr>
          <w:rFonts w:ascii="宋体" w:eastAsia="宋体" w:hAnsi="宋体" w:cs="宋体" w:hint="eastAsia"/>
          <w:kern w:val="2"/>
          <w:sz w:val="21"/>
          <w:szCs w:val="21"/>
        </w:rPr>
        <w:t>学员满意度达到</w:t>
      </w:r>
      <w:r>
        <w:rPr>
          <w:rFonts w:ascii="宋体" w:eastAsia="宋体" w:hAnsi="宋体" w:cs="宋体" w:hint="eastAsia"/>
          <w:kern w:val="2"/>
          <w:sz w:val="21"/>
          <w:szCs w:val="21"/>
        </w:rPr>
        <w:t>95%</w:t>
      </w:r>
      <w:r>
        <w:rPr>
          <w:rFonts w:ascii="宋体" w:eastAsia="宋体" w:hAnsi="宋体" w:cs="宋体" w:hint="eastAsia"/>
          <w:kern w:val="2"/>
          <w:sz w:val="21"/>
          <w:szCs w:val="21"/>
        </w:rPr>
        <w:t>以上，有效投诉率不超过三次。</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培训课程、现场教学项目顺利完成，在外参训人员如期安全返回深圳。</w:t>
      </w:r>
    </w:p>
    <w:p w:rsidR="00E06F90" w:rsidRDefault="00642B59">
      <w:pPr>
        <w:pStyle w:val="4"/>
        <w:rPr>
          <w:szCs w:val="32"/>
        </w:rPr>
      </w:pPr>
      <w:r>
        <w:rPr>
          <w:rFonts w:hint="eastAsia"/>
        </w:rPr>
        <w:lastRenderedPageBreak/>
        <w:t>5</w:t>
      </w:r>
      <w:r>
        <w:rPr>
          <w:rFonts w:hint="eastAsia"/>
        </w:rPr>
        <w:t>、项目服务要求</w:t>
      </w:r>
    </w:p>
    <w:p w:rsidR="00E06F90" w:rsidRDefault="00642B59" w:rsidP="00642B59">
      <w:pPr>
        <w:widowControl w:val="0"/>
        <w:spacing w:afterLines="20" w:line="400" w:lineRule="exact"/>
        <w:ind w:leftChars="170" w:left="408"/>
        <w:jc w:val="both"/>
        <w:rPr>
          <w:rFonts w:eastAsia="宋体"/>
          <w:kern w:val="2"/>
          <w:sz w:val="21"/>
        </w:rPr>
      </w:pPr>
      <w:r>
        <w:rPr>
          <w:rFonts w:ascii="宋体" w:eastAsia="宋体" w:hAnsi="宋体" w:cs="宋体" w:hint="eastAsia"/>
          <w:kern w:val="2"/>
          <w:sz w:val="21"/>
        </w:rPr>
        <w:t>1.</w:t>
      </w:r>
      <w:r>
        <w:rPr>
          <w:rFonts w:eastAsia="宋体" w:hint="eastAsia"/>
          <w:kern w:val="2"/>
          <w:sz w:val="21"/>
        </w:rPr>
        <w:t>预算报价应包含教学所在地与机场、高铁、参观考察地等之间交通费用（含授课师资与学员）。</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不少于</w:t>
      </w:r>
      <w:r>
        <w:rPr>
          <w:rFonts w:ascii="宋体" w:eastAsia="宋体" w:hAnsi="宋体" w:cs="宋体" w:hint="eastAsia"/>
          <w:sz w:val="21"/>
          <w:szCs w:val="21"/>
        </w:rPr>
        <w:t xml:space="preserve"> 4 </w:t>
      </w:r>
      <w:proofErr w:type="gramStart"/>
      <w:r>
        <w:rPr>
          <w:rFonts w:ascii="宋体" w:eastAsia="宋体" w:hAnsi="宋体" w:cs="宋体" w:hint="eastAsia"/>
          <w:sz w:val="21"/>
          <w:szCs w:val="21"/>
        </w:rPr>
        <w:t>次行业</w:t>
      </w:r>
      <w:proofErr w:type="gramEnd"/>
      <w:r>
        <w:rPr>
          <w:rFonts w:ascii="宋体" w:eastAsia="宋体" w:hAnsi="宋体" w:cs="宋体" w:hint="eastAsia"/>
          <w:sz w:val="21"/>
          <w:szCs w:val="21"/>
        </w:rPr>
        <w:t>领先的医院现场教学，不少于</w:t>
      </w:r>
      <w:r>
        <w:rPr>
          <w:rFonts w:ascii="宋体" w:eastAsia="宋体" w:hAnsi="宋体" w:cs="宋体" w:hint="eastAsia"/>
          <w:sz w:val="21"/>
          <w:szCs w:val="21"/>
        </w:rPr>
        <w:t xml:space="preserve"> 6 </w:t>
      </w:r>
      <w:r>
        <w:rPr>
          <w:rFonts w:ascii="宋体" w:eastAsia="宋体" w:hAnsi="宋体" w:cs="宋体" w:hint="eastAsia"/>
          <w:sz w:val="21"/>
          <w:szCs w:val="21"/>
        </w:rPr>
        <w:t>次分组讨论或沙盘模拟。在外地（深圳市以外）授课三个模块中，可在其他城市开展</w:t>
      </w:r>
      <w:r>
        <w:rPr>
          <w:rFonts w:ascii="宋体" w:eastAsia="宋体" w:hAnsi="宋体" w:cs="宋体" w:hint="eastAsia"/>
          <w:sz w:val="21"/>
          <w:szCs w:val="21"/>
        </w:rPr>
        <w:t>1</w:t>
      </w:r>
      <w:r>
        <w:rPr>
          <w:rFonts w:ascii="宋体" w:eastAsia="宋体" w:hAnsi="宋体" w:cs="宋体" w:hint="eastAsia"/>
          <w:sz w:val="21"/>
          <w:szCs w:val="21"/>
        </w:rPr>
        <w:t>次授课，如杭州等地开展教学，参观学习</w:t>
      </w:r>
      <w:r>
        <w:rPr>
          <w:rFonts w:ascii="宋体" w:eastAsia="宋体" w:hAnsi="宋体" w:cs="宋体" w:hint="eastAsia"/>
          <w:sz w:val="21"/>
          <w:szCs w:val="21"/>
        </w:rPr>
        <w:t>1-2</w:t>
      </w:r>
      <w:r>
        <w:rPr>
          <w:rFonts w:ascii="宋体" w:eastAsia="宋体" w:hAnsi="宋体" w:cs="宋体" w:hint="eastAsia"/>
          <w:sz w:val="21"/>
          <w:szCs w:val="21"/>
        </w:rPr>
        <w:t>家当地市属公立三甲医院。</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深圳授课采用学时数累加计算开展，分</w:t>
      </w:r>
      <w:r>
        <w:rPr>
          <w:rFonts w:ascii="宋体" w:eastAsia="宋体" w:hAnsi="宋体" w:cs="宋体" w:hint="eastAsia"/>
          <w:sz w:val="21"/>
          <w:szCs w:val="21"/>
        </w:rPr>
        <w:t>3</w:t>
      </w:r>
      <w:r>
        <w:rPr>
          <w:rFonts w:ascii="宋体" w:eastAsia="宋体" w:hAnsi="宋体" w:cs="宋体" w:hint="eastAsia"/>
          <w:sz w:val="21"/>
          <w:szCs w:val="21"/>
        </w:rPr>
        <w:t>次</w:t>
      </w:r>
      <w:r>
        <w:rPr>
          <w:rFonts w:ascii="宋体" w:eastAsia="宋体" w:hAnsi="宋体" w:cs="宋体" w:hint="eastAsia"/>
          <w:sz w:val="21"/>
          <w:szCs w:val="21"/>
        </w:rPr>
        <w:t>集中授课，</w:t>
      </w:r>
      <w:r>
        <w:rPr>
          <w:rFonts w:ascii="宋体" w:eastAsia="宋体" w:hAnsi="宋体" w:cs="宋体" w:hint="eastAsia"/>
          <w:sz w:val="21"/>
          <w:szCs w:val="21"/>
        </w:rPr>
        <w:t>每次</w:t>
      </w:r>
      <w:r>
        <w:rPr>
          <w:rFonts w:ascii="宋体" w:eastAsia="宋体" w:hAnsi="宋体" w:cs="宋体" w:hint="eastAsia"/>
          <w:sz w:val="21"/>
          <w:szCs w:val="21"/>
        </w:rPr>
        <w:t>3</w:t>
      </w:r>
      <w:r>
        <w:rPr>
          <w:rFonts w:ascii="宋体" w:eastAsia="宋体" w:hAnsi="宋体" w:cs="宋体" w:hint="eastAsia"/>
          <w:sz w:val="21"/>
          <w:szCs w:val="21"/>
        </w:rPr>
        <w:t>天</w:t>
      </w:r>
      <w:r>
        <w:rPr>
          <w:rFonts w:ascii="宋体" w:eastAsia="宋体" w:hAnsi="宋体" w:cs="宋体" w:hint="eastAsia"/>
          <w:sz w:val="21"/>
          <w:szCs w:val="21"/>
        </w:rPr>
        <w:t>。</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培训过程中提供师资介绍、</w:t>
      </w:r>
      <w:r>
        <w:rPr>
          <w:rFonts w:ascii="宋体" w:eastAsia="宋体" w:hAnsi="宋体" w:cs="宋体" w:hint="eastAsia"/>
          <w:sz w:val="21"/>
          <w:szCs w:val="21"/>
        </w:rPr>
        <w:t>学员签到表、</w:t>
      </w:r>
      <w:r>
        <w:rPr>
          <w:rFonts w:ascii="宋体" w:eastAsia="宋体" w:hAnsi="宋体" w:cs="宋体" w:hint="eastAsia"/>
          <w:sz w:val="21"/>
          <w:szCs w:val="21"/>
        </w:rPr>
        <w:t>带班日志、课前调研、课后作业</w:t>
      </w:r>
      <w:r>
        <w:rPr>
          <w:rFonts w:ascii="宋体" w:eastAsia="宋体" w:hAnsi="宋体" w:cs="宋体" w:hint="eastAsia"/>
          <w:sz w:val="21"/>
          <w:szCs w:val="21"/>
        </w:rPr>
        <w:t>汇总</w:t>
      </w:r>
      <w:r>
        <w:rPr>
          <w:rFonts w:ascii="宋体" w:eastAsia="宋体" w:hAnsi="宋体" w:cs="宋体" w:hint="eastAsia"/>
          <w:sz w:val="21"/>
          <w:szCs w:val="21"/>
        </w:rPr>
        <w:t>、</w:t>
      </w:r>
      <w:r>
        <w:rPr>
          <w:rFonts w:ascii="宋体" w:eastAsia="宋体" w:hAnsi="宋体" w:cs="宋体" w:hint="eastAsia"/>
          <w:sz w:val="21"/>
          <w:szCs w:val="21"/>
        </w:rPr>
        <w:t>摄影摄像、</w:t>
      </w:r>
      <w:r>
        <w:rPr>
          <w:rFonts w:ascii="宋体" w:eastAsia="宋体" w:hAnsi="宋体" w:cs="宋体" w:hint="eastAsia"/>
          <w:sz w:val="21"/>
          <w:szCs w:val="21"/>
        </w:rPr>
        <w:t>学分管理</w:t>
      </w:r>
      <w:r>
        <w:rPr>
          <w:rFonts w:ascii="宋体" w:eastAsia="宋体" w:hAnsi="宋体" w:cs="宋体" w:hint="eastAsia"/>
          <w:sz w:val="21"/>
          <w:szCs w:val="21"/>
        </w:rPr>
        <w:t>、</w:t>
      </w:r>
      <w:proofErr w:type="gramStart"/>
      <w:r>
        <w:rPr>
          <w:rFonts w:ascii="宋体" w:eastAsia="宋体" w:hAnsi="宋体" w:cs="宋体" w:hint="eastAsia"/>
          <w:sz w:val="21"/>
          <w:szCs w:val="21"/>
        </w:rPr>
        <w:t>每教学</w:t>
      </w:r>
      <w:proofErr w:type="gramEnd"/>
      <w:r>
        <w:rPr>
          <w:rFonts w:ascii="宋体" w:eastAsia="宋体" w:hAnsi="宋体" w:cs="宋体" w:hint="eastAsia"/>
          <w:sz w:val="21"/>
          <w:szCs w:val="21"/>
        </w:rPr>
        <w:t>单元总结</w:t>
      </w:r>
      <w:r>
        <w:rPr>
          <w:rFonts w:ascii="宋体" w:eastAsia="宋体" w:hAnsi="宋体" w:cs="宋体" w:hint="eastAsia"/>
          <w:sz w:val="21"/>
          <w:szCs w:val="21"/>
        </w:rPr>
        <w:t>报告</w:t>
      </w:r>
      <w:r>
        <w:rPr>
          <w:rFonts w:ascii="宋体" w:eastAsia="宋体" w:hAnsi="宋体" w:cs="宋体" w:hint="eastAsia"/>
          <w:sz w:val="21"/>
          <w:szCs w:val="21"/>
        </w:rPr>
        <w:t>等</w:t>
      </w:r>
      <w:r>
        <w:rPr>
          <w:rFonts w:ascii="宋体" w:eastAsia="宋体" w:hAnsi="宋体" w:cs="宋体" w:hint="eastAsia"/>
          <w:sz w:val="21"/>
          <w:szCs w:val="21"/>
        </w:rPr>
        <w:t>教学管理</w:t>
      </w:r>
      <w:r>
        <w:rPr>
          <w:rFonts w:ascii="宋体" w:eastAsia="宋体" w:hAnsi="宋体" w:cs="宋体" w:hint="eastAsia"/>
          <w:sz w:val="21"/>
          <w:szCs w:val="21"/>
        </w:rPr>
        <w:t>和服务</w:t>
      </w:r>
      <w:r>
        <w:rPr>
          <w:rFonts w:ascii="宋体" w:eastAsia="宋体" w:hAnsi="宋体" w:cs="宋体" w:hint="eastAsia"/>
          <w:sz w:val="21"/>
          <w:szCs w:val="21"/>
        </w:rPr>
        <w:t>，并报采购人确认。</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投标人提供教学所需的培训场地，电教设备和必要的教材资料（包括教授讲义、必要学习用品等）。</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投标人负责支付教授课酬，代纳教师个人所得税。</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投标人编制和印刷《学员手册》。</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投标人每期课程提供纸质《讲义》（含电子版）。</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项目结束后向甲方提供《教学质量评估报告》、《项目材料汇编》</w:t>
      </w:r>
      <w:r>
        <w:rPr>
          <w:rFonts w:ascii="宋体" w:eastAsia="宋体" w:hAnsi="宋体" w:cs="宋体" w:hint="eastAsia"/>
          <w:sz w:val="21"/>
          <w:szCs w:val="21"/>
        </w:rPr>
        <w:t>（</w:t>
      </w:r>
      <w:r>
        <w:rPr>
          <w:rFonts w:ascii="宋体" w:eastAsia="宋体" w:hAnsi="宋体" w:cs="宋体" w:hint="eastAsia"/>
          <w:sz w:val="21"/>
          <w:szCs w:val="21"/>
        </w:rPr>
        <w:t>含签到表、</w:t>
      </w:r>
      <w:r>
        <w:rPr>
          <w:rFonts w:ascii="宋体" w:eastAsia="宋体" w:hAnsi="宋体" w:cs="宋体" w:hint="eastAsia"/>
          <w:sz w:val="21"/>
          <w:szCs w:val="21"/>
        </w:rPr>
        <w:t>学员</w:t>
      </w:r>
      <w:r>
        <w:rPr>
          <w:rFonts w:ascii="宋体" w:eastAsia="宋体" w:hAnsi="宋体" w:cs="宋体" w:hint="eastAsia"/>
          <w:sz w:val="21"/>
          <w:szCs w:val="21"/>
        </w:rPr>
        <w:t>上课精彩瞬间</w:t>
      </w:r>
      <w:r>
        <w:rPr>
          <w:rFonts w:ascii="宋体" w:eastAsia="宋体" w:hAnsi="宋体" w:cs="宋体" w:hint="eastAsia"/>
          <w:sz w:val="21"/>
          <w:szCs w:val="21"/>
        </w:rPr>
        <w:t>照片、</w:t>
      </w:r>
      <w:r>
        <w:rPr>
          <w:rFonts w:ascii="宋体" w:eastAsia="宋体" w:hAnsi="宋体" w:cs="宋体" w:hint="eastAsia"/>
          <w:sz w:val="21"/>
          <w:szCs w:val="21"/>
        </w:rPr>
        <w:t>学员每次课程心得体会</w:t>
      </w:r>
      <w:r>
        <w:rPr>
          <w:rFonts w:ascii="宋体" w:eastAsia="宋体" w:hAnsi="宋体" w:cs="宋体" w:hint="eastAsia"/>
          <w:sz w:val="21"/>
          <w:szCs w:val="21"/>
        </w:rPr>
        <w:t>集、论文</w:t>
      </w:r>
      <w:r>
        <w:rPr>
          <w:rFonts w:ascii="宋体" w:eastAsia="宋体" w:hAnsi="宋体" w:cs="宋体" w:hint="eastAsia"/>
          <w:sz w:val="21"/>
          <w:szCs w:val="21"/>
        </w:rPr>
        <w:t>集、纪念册等</w:t>
      </w:r>
      <w:r>
        <w:rPr>
          <w:rFonts w:ascii="宋体" w:eastAsia="宋体" w:hAnsi="宋体" w:cs="宋体" w:hint="eastAsia"/>
          <w:sz w:val="21"/>
          <w:szCs w:val="21"/>
        </w:rPr>
        <w:t>）</w:t>
      </w:r>
      <w:r>
        <w:rPr>
          <w:rFonts w:ascii="宋体" w:eastAsia="宋体" w:hAnsi="宋体" w:cs="宋体" w:hint="eastAsia"/>
          <w:sz w:val="21"/>
          <w:szCs w:val="21"/>
        </w:rPr>
        <w:t>，并在甲方指导下，按照《深圳市公立医院院长及后备人才职业化培训考核评估实施细则》对参训学员培训过程进行考核评价，过程考核主要包括学员的考勤情况、作业情况、课题研究、学术沙龙</w:t>
      </w:r>
      <w:r>
        <w:rPr>
          <w:rFonts w:ascii="宋体" w:eastAsia="宋体" w:hAnsi="宋体" w:cs="宋体" w:hint="eastAsia"/>
          <w:sz w:val="21"/>
          <w:szCs w:val="21"/>
        </w:rPr>
        <w:t>、</w:t>
      </w:r>
      <w:r>
        <w:rPr>
          <w:rFonts w:ascii="宋体" w:eastAsia="宋体" w:hAnsi="宋体" w:cs="宋体" w:hint="eastAsia"/>
          <w:sz w:val="21"/>
          <w:szCs w:val="21"/>
        </w:rPr>
        <w:t>结业论文</w:t>
      </w:r>
      <w:r>
        <w:rPr>
          <w:rFonts w:ascii="宋体" w:eastAsia="宋体" w:hAnsi="宋体" w:cs="宋体" w:hint="eastAsia"/>
          <w:sz w:val="21"/>
          <w:szCs w:val="21"/>
        </w:rPr>
        <w:t>、结业</w:t>
      </w:r>
      <w:proofErr w:type="gramStart"/>
      <w:r>
        <w:rPr>
          <w:rFonts w:ascii="宋体" w:eastAsia="宋体" w:hAnsi="宋体" w:cs="宋体" w:hint="eastAsia"/>
          <w:sz w:val="21"/>
          <w:szCs w:val="21"/>
        </w:rPr>
        <w:t>试卷组卷和</w:t>
      </w:r>
      <w:proofErr w:type="gramEnd"/>
      <w:r>
        <w:rPr>
          <w:rFonts w:ascii="宋体" w:eastAsia="宋体" w:hAnsi="宋体" w:cs="宋体" w:hint="eastAsia"/>
          <w:sz w:val="21"/>
          <w:szCs w:val="21"/>
        </w:rPr>
        <w:t>批</w:t>
      </w:r>
      <w:r>
        <w:rPr>
          <w:rFonts w:ascii="宋体" w:eastAsia="宋体" w:hAnsi="宋体" w:cs="宋体" w:hint="eastAsia"/>
          <w:sz w:val="21"/>
          <w:szCs w:val="21"/>
        </w:rPr>
        <w:t>阅</w:t>
      </w:r>
      <w:r>
        <w:rPr>
          <w:rFonts w:ascii="宋体" w:eastAsia="宋体" w:hAnsi="宋体" w:cs="宋体" w:hint="eastAsia"/>
          <w:sz w:val="21"/>
          <w:szCs w:val="21"/>
        </w:rPr>
        <w:t>等方面。</w:t>
      </w:r>
    </w:p>
    <w:p w:rsidR="00E06F90" w:rsidRDefault="00642B59" w:rsidP="00642B59">
      <w:pPr>
        <w:widowControl w:val="0"/>
        <w:spacing w:afterLines="20" w:line="400" w:lineRule="exact"/>
        <w:ind w:leftChars="170" w:left="408"/>
        <w:jc w:val="both"/>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原则上不得变更培训计划，特殊情况若需调整培训计划须征得采购人同意。</w:t>
      </w:r>
    </w:p>
    <w:p w:rsidR="00E06F90" w:rsidRDefault="00642B59">
      <w:r>
        <w:rPr>
          <w:rFonts w:ascii="宋体" w:eastAsia="宋体" w:hAnsi="宋体" w:cs="宋体" w:hint="eastAsia"/>
          <w:sz w:val="21"/>
          <w:szCs w:val="21"/>
        </w:rPr>
        <w:t>11.</w:t>
      </w:r>
      <w:r>
        <w:rPr>
          <w:rFonts w:ascii="宋体" w:eastAsia="宋体" w:hAnsi="宋体" w:cs="宋体" w:hint="eastAsia"/>
          <w:sz w:val="21"/>
          <w:szCs w:val="21"/>
        </w:rPr>
        <w:t>投标人需成立项目组，项目实施期间，项目组成员须</w:t>
      </w:r>
      <w:r>
        <w:rPr>
          <w:rFonts w:ascii="宋体" w:eastAsia="宋体" w:hAnsi="宋体" w:cs="宋体" w:hint="eastAsia"/>
          <w:sz w:val="21"/>
          <w:szCs w:val="21"/>
        </w:rPr>
        <w:t>按照</w:t>
      </w:r>
      <w:r>
        <w:rPr>
          <w:rFonts w:ascii="宋体" w:eastAsia="宋体" w:hAnsi="宋体" w:cs="宋体" w:hint="eastAsia"/>
          <w:sz w:val="21"/>
          <w:szCs w:val="21"/>
        </w:rPr>
        <w:t>提供</w:t>
      </w:r>
      <w:r>
        <w:rPr>
          <w:rFonts w:ascii="宋体" w:eastAsia="宋体" w:hAnsi="宋体" w:cs="宋体" w:hint="eastAsia"/>
          <w:sz w:val="21"/>
          <w:szCs w:val="21"/>
        </w:rPr>
        <w:t>采购人及时</w:t>
      </w:r>
      <w:r>
        <w:rPr>
          <w:rFonts w:ascii="宋体" w:eastAsia="宋体" w:hAnsi="宋体" w:cs="宋体" w:hint="eastAsia"/>
          <w:sz w:val="21"/>
          <w:szCs w:val="21"/>
        </w:rPr>
        <w:t>提供教学相关的</w:t>
      </w:r>
      <w:r>
        <w:rPr>
          <w:rFonts w:ascii="宋体" w:eastAsia="宋体" w:hAnsi="宋体" w:cs="宋体" w:hint="eastAsia"/>
          <w:sz w:val="21"/>
          <w:szCs w:val="21"/>
        </w:rPr>
        <w:t>服务。</w:t>
      </w:r>
    </w:p>
    <w:sectPr w:rsidR="00E06F90" w:rsidSect="00E06F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涛">
    <w15:presenceInfo w15:providerId="None" w15:userId="郑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B57"/>
    <w:rsid w:val="FBBFBD47"/>
    <w:rsid w:val="00014DEB"/>
    <w:rsid w:val="005D7331"/>
    <w:rsid w:val="00642B59"/>
    <w:rsid w:val="009F3B57"/>
    <w:rsid w:val="00C3037B"/>
    <w:rsid w:val="00CB0DA0"/>
    <w:rsid w:val="00DA2E53"/>
    <w:rsid w:val="00E06F90"/>
    <w:rsid w:val="0FDF5FCA"/>
    <w:rsid w:val="51BD5AD5"/>
    <w:rsid w:val="715E1CD0"/>
    <w:rsid w:val="7772F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90"/>
    <w:rPr>
      <w:rFonts w:ascii="Times New Roman" w:hAnsi="Times New Roman" w:cs="Times New Roman"/>
      <w:sz w:val="24"/>
      <w:szCs w:val="24"/>
    </w:rPr>
  </w:style>
  <w:style w:type="paragraph" w:styleId="3">
    <w:name w:val="heading 3"/>
    <w:basedOn w:val="4"/>
    <w:next w:val="a"/>
    <w:link w:val="3Char"/>
    <w:qFormat/>
    <w:rsid w:val="00E06F90"/>
    <w:pPr>
      <w:spacing w:line="480" w:lineRule="auto"/>
      <w:outlineLvl w:val="2"/>
    </w:pPr>
    <w:rPr>
      <w:rFonts w:ascii="宋体" w:eastAsia="宋体" w:hAnsi="宋体"/>
      <w:szCs w:val="32"/>
    </w:rPr>
  </w:style>
  <w:style w:type="paragraph" w:styleId="4">
    <w:name w:val="heading 4"/>
    <w:basedOn w:val="a"/>
    <w:next w:val="a"/>
    <w:link w:val="4Char"/>
    <w:qFormat/>
    <w:rsid w:val="00E06F9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qFormat/>
    <w:rsid w:val="00E06F90"/>
  </w:style>
  <w:style w:type="table" w:styleId="a4">
    <w:name w:val="Table Grid"/>
    <w:basedOn w:val="a1"/>
    <w:uiPriority w:val="39"/>
    <w:qFormat/>
    <w:rsid w:val="00E06F90"/>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E06F90"/>
    <w:rPr>
      <w:rFonts w:ascii="宋体" w:eastAsia="宋体" w:hAnsi="宋体" w:cs="Times New Roman"/>
      <w:b/>
      <w:bCs/>
      <w:kern w:val="0"/>
      <w:sz w:val="28"/>
      <w:szCs w:val="32"/>
    </w:rPr>
  </w:style>
  <w:style w:type="character" w:customStyle="1" w:styleId="4Char">
    <w:name w:val="标题 4 Char"/>
    <w:basedOn w:val="a0"/>
    <w:link w:val="4"/>
    <w:qFormat/>
    <w:rsid w:val="00E06F90"/>
    <w:rPr>
      <w:rFonts w:ascii="Arial" w:eastAsia="黑体" w:hAnsi="Arial" w:cs="Times New Roman"/>
      <w:b/>
      <w:bCs/>
      <w:kern w:val="0"/>
      <w:sz w:val="28"/>
      <w:szCs w:val="28"/>
    </w:rPr>
  </w:style>
  <w:style w:type="character" w:customStyle="1" w:styleId="Char">
    <w:name w:val="普通(网站) Char"/>
    <w:link w:val="a3"/>
    <w:uiPriority w:val="99"/>
    <w:qFormat/>
    <w:rsid w:val="00E06F90"/>
    <w:rPr>
      <w:rFonts w:ascii="Times New Roman" w:hAnsi="Times New Roman" w:cs="Times New Roman"/>
      <w:kern w:val="0"/>
      <w:sz w:val="24"/>
      <w:szCs w:val="24"/>
    </w:rPr>
  </w:style>
  <w:style w:type="paragraph" w:customStyle="1" w:styleId="a5">
    <w:name w:val="黑体"/>
    <w:basedOn w:val="a"/>
    <w:qFormat/>
    <w:rsid w:val="00E06F90"/>
    <w:rPr>
      <w:rFonts w:ascii="黑体" w:eastAsia="黑体" w:hAnsi="黑体" w:cs="黑体" w:hint="eastAsia"/>
      <w:sz w:val="32"/>
    </w:rPr>
  </w:style>
  <w:style w:type="paragraph" w:customStyle="1" w:styleId="GB2312">
    <w:name w:val="仿宋_GB2312"/>
    <w:basedOn w:val="a"/>
    <w:qFormat/>
    <w:rsid w:val="00E06F90"/>
    <w:rPr>
      <w:rFonts w:ascii="仿宋_GB2312" w:eastAsia="仿宋_GB2312" w:hAnsi="仿宋_GB2312" w:cs="仿宋_GB2312" w:hint="eastAsia"/>
      <w:sz w:val="32"/>
    </w:rPr>
  </w:style>
  <w:style w:type="paragraph" w:customStyle="1" w:styleId="GB23120">
    <w:name w:val="楷体_GB2312"/>
    <w:basedOn w:val="a"/>
    <w:qFormat/>
    <w:rsid w:val="00E06F90"/>
    <w:rPr>
      <w:rFonts w:ascii="楷体_GB2312" w:eastAsia="楷体_GB2312" w:hAnsi="楷体_GB2312" w:cs="楷体_GB2312" w:hint="eastAsia"/>
      <w:sz w:val="32"/>
    </w:rPr>
  </w:style>
  <w:style w:type="paragraph" w:customStyle="1" w:styleId="a6">
    <w:name w:val="方正小标宋简体"/>
    <w:basedOn w:val="a"/>
    <w:qFormat/>
    <w:rsid w:val="00E06F90"/>
    <w:rPr>
      <w:rFonts w:ascii="方正小标宋简体" w:eastAsia="方正小标宋简体" w:hAnsi="方正小标宋简体" w:cs="方正小标宋简体" w:hint="eastAsia"/>
      <w:sz w:val="32"/>
    </w:rPr>
  </w:style>
  <w:style w:type="paragraph" w:customStyle="1" w:styleId="GBK">
    <w:name w:val="方正小标宋_GBK"/>
    <w:basedOn w:val="a"/>
    <w:qFormat/>
    <w:rsid w:val="00E06F90"/>
    <w:rPr>
      <w:rFonts w:ascii="方正小标宋_GBK”" w:eastAsia="方正小标宋_GBK”" w:hAnsi="方正小标宋_GBK”" w:cs="方正小标宋_GBK”" w:hint="eastAsia"/>
      <w:sz w:val="32"/>
    </w:rPr>
  </w:style>
  <w:style w:type="paragraph" w:styleId="a7">
    <w:name w:val="List Paragraph"/>
    <w:basedOn w:val="a"/>
    <w:uiPriority w:val="34"/>
    <w:qFormat/>
    <w:rsid w:val="00E06F90"/>
    <w:pPr>
      <w:ind w:firstLineChars="200" w:firstLine="420"/>
    </w:pPr>
  </w:style>
  <w:style w:type="paragraph" w:styleId="a8">
    <w:name w:val="Balloon Text"/>
    <w:basedOn w:val="a"/>
    <w:link w:val="Char0"/>
    <w:uiPriority w:val="99"/>
    <w:semiHidden/>
    <w:unhideWhenUsed/>
    <w:rsid w:val="00642B59"/>
    <w:rPr>
      <w:sz w:val="18"/>
      <w:szCs w:val="18"/>
    </w:rPr>
  </w:style>
  <w:style w:type="character" w:customStyle="1" w:styleId="Char0">
    <w:name w:val="批注框文本 Char"/>
    <w:basedOn w:val="a0"/>
    <w:link w:val="a8"/>
    <w:uiPriority w:val="99"/>
    <w:semiHidden/>
    <w:rsid w:val="00642B5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dc:creator>
  <cp:lastModifiedBy>ZOS</cp:lastModifiedBy>
  <cp:revision>9</cp:revision>
  <dcterms:created xsi:type="dcterms:W3CDTF">2023-05-09T19:52:00Z</dcterms:created>
  <dcterms:modified xsi:type="dcterms:W3CDTF">2023-05-12T02:01:00Z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