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3A" w:rsidRDefault="00D9753A" w:rsidP="00D9753A">
      <w:pPr>
        <w:pStyle w:val="2"/>
        <w:spacing w:line="400" w:lineRule="exact"/>
        <w:ind w:left="420"/>
        <w:rPr>
          <w:rFonts w:ascii="宋体" w:eastAsia="宋体" w:hAnsi="宋体"/>
          <w:sz w:val="24"/>
          <w:szCs w:val="24"/>
        </w:rPr>
      </w:pPr>
      <w:bookmarkStart w:id="0" w:name="_Toc140572279"/>
      <w:proofErr w:type="spellStart"/>
      <w:r>
        <w:rPr>
          <w:rFonts w:hint="eastAsia"/>
          <w:sz w:val="24"/>
          <w:szCs w:val="24"/>
        </w:rPr>
        <w:t>技</w:t>
      </w:r>
      <w:r>
        <w:rPr>
          <w:rFonts w:ascii="宋体" w:eastAsia="宋体" w:hAnsi="宋体" w:hint="eastAsia"/>
          <w:sz w:val="24"/>
          <w:szCs w:val="24"/>
        </w:rPr>
        <w:t>术要求</w:t>
      </w:r>
      <w:bookmarkEnd w:id="0"/>
      <w:proofErr w:type="spellEnd"/>
    </w:p>
    <w:p w:rsidR="00D9753A" w:rsidRDefault="00D9753A" w:rsidP="00D9753A">
      <w:pPr>
        <w:pStyle w:val="3"/>
        <w:numPr>
          <w:ilvl w:val="0"/>
          <w:numId w:val="2"/>
        </w:numPr>
        <w:spacing w:line="400" w:lineRule="exact"/>
        <w:rPr>
          <w:rFonts w:ascii="宋体" w:hAnsi="宋体" w:hint="eastAsia"/>
          <w:color w:val="000000"/>
          <w:sz w:val="24"/>
          <w:szCs w:val="24"/>
        </w:rPr>
      </w:pPr>
      <w:bookmarkStart w:id="1" w:name="_Toc140572280"/>
      <w:proofErr w:type="spellStart"/>
      <w:r>
        <w:rPr>
          <w:rFonts w:ascii="宋体" w:hAnsi="宋体" w:hint="eastAsia"/>
          <w:color w:val="000000"/>
          <w:sz w:val="24"/>
          <w:szCs w:val="24"/>
        </w:rPr>
        <w:t>总体要求</w:t>
      </w:r>
      <w:bookmarkStart w:id="2" w:name="ninejishuyaoqiu"/>
      <w:bookmarkEnd w:id="1"/>
      <w:bookmarkEnd w:id="2"/>
      <w:proofErr w:type="spellEnd"/>
    </w:p>
    <w:p w:rsidR="00D9753A" w:rsidRDefault="00D9753A" w:rsidP="00D9753A">
      <w:pPr>
        <w:numPr>
          <w:ilvl w:val="0"/>
          <w:numId w:val="3"/>
        </w:numPr>
        <w:spacing w:line="400" w:lineRule="exact"/>
        <w:rPr>
          <w:rFonts w:hint="eastAsia"/>
        </w:rPr>
      </w:pPr>
      <w:r>
        <w:rPr>
          <w:rFonts w:hint="eastAsia"/>
        </w:rPr>
        <w:t>投标人必须保证所有设备和配件均为正货，并提供出厂合格证明。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需出具原厂证明投标设备最终授权使用方为采购方，且提供售后技术支持和承诺。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投标人必须提供原装、全新、技术先进、性能优良、结构紧凑、便于安装和维护、符合国家及用户提出的有关质量标准的设备。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投标人保证其所提供的货物为全新的产品。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设备及其辅助装置的铭牌、使用指示、警告指示应以中文和</w:t>
      </w:r>
      <w:r>
        <w:t>/</w:t>
      </w:r>
      <w:r>
        <w:rPr>
          <w:rFonts w:hint="eastAsia"/>
        </w:rPr>
        <w:t>或英文及易懂的通用符号来表示，应能准确无误地表示设备的型号、规格、制造商。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技术要求着重描述了设备的某些特点，但并不意味着包括全部细节。投标人应提供投标设备全部技术参数。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投标人在投标文件的设备配置方案，应达到或超过招标文件中的有关技术和数量要求。投标人应注意到招标文件中的有关技术指标要求是最低限度。投标人在投标时必须明确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以上承诺，否则采购人不予选择。</w:t>
      </w:r>
    </w:p>
    <w:p w:rsidR="00D9753A" w:rsidRDefault="00D9753A" w:rsidP="00D9753A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内容若涉及“★”的条款均为不可偏离条款，投标人需完全满足该条款，否则将作投标无效处理；涉及“▲”的条款均为不可偏离条款仅作为综合评分时的重要依据。所有标注“★”、“▲”的参数均需在投标文件中提供技术支持资料（包括技术白皮书或产品彩页或产品说明书），无技术资料支持的，将可能导致投标无效或者提供的相关内容不得分。</w:t>
      </w:r>
    </w:p>
    <w:p w:rsidR="00D9753A" w:rsidRDefault="00D9753A" w:rsidP="00D9753A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  <w:lang w:val="en-US"/>
        </w:rPr>
        <w:t xml:space="preserve"> </w:t>
      </w:r>
      <w:bookmarkStart w:id="3" w:name="_Toc140572281"/>
      <w:bookmarkStart w:id="4" w:name="_Toc512695076"/>
      <w:r>
        <w:rPr>
          <w:rFonts w:ascii="宋体" w:hAnsi="宋体" w:hint="eastAsia"/>
          <w:color w:val="000000"/>
          <w:sz w:val="24"/>
          <w:szCs w:val="24"/>
        </w:rPr>
        <w:t>★</w:t>
      </w:r>
      <w:proofErr w:type="spellStart"/>
      <w:r>
        <w:rPr>
          <w:rFonts w:ascii="宋体" w:hAnsi="宋体" w:hint="eastAsia"/>
          <w:color w:val="000000"/>
          <w:sz w:val="24"/>
          <w:szCs w:val="24"/>
        </w:rPr>
        <w:t>供货</w:t>
      </w:r>
      <w:bookmarkStart w:id="5" w:name="供货范围"/>
      <w:bookmarkEnd w:id="5"/>
      <w:r>
        <w:rPr>
          <w:rFonts w:ascii="宋体" w:hAnsi="宋体" w:hint="eastAsia"/>
          <w:color w:val="000000"/>
          <w:sz w:val="24"/>
          <w:szCs w:val="24"/>
        </w:rPr>
        <w:t>范围</w:t>
      </w:r>
      <w:bookmarkEnd w:id="3"/>
      <w:bookmarkEnd w:id="4"/>
      <w:proofErr w:type="spellEnd"/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44"/>
        <w:gridCol w:w="1559"/>
      </w:tblGrid>
      <w:tr w:rsidR="00D9753A" w:rsidTr="00D9753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53A" w:rsidRDefault="00D9753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53A" w:rsidRDefault="00D9753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53A" w:rsidRDefault="00D9753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D9753A" w:rsidTr="00D9753A">
        <w:trPr>
          <w:trHeight w:val="4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53A" w:rsidRDefault="00D9753A">
            <w:pPr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53A" w:rsidRDefault="00D975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EMC电磁兼容测试设备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53A" w:rsidRDefault="00D975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1套</w:t>
            </w:r>
          </w:p>
        </w:tc>
      </w:tr>
    </w:tbl>
    <w:p w:rsidR="00D9753A" w:rsidRDefault="00D9753A" w:rsidP="00D9753A">
      <w:pPr>
        <w:rPr>
          <w:rFonts w:hint="eastAsia"/>
        </w:rPr>
      </w:pPr>
      <w:r>
        <w:t xml:space="preserve"> </w:t>
      </w:r>
    </w:p>
    <w:p w:rsidR="00D9753A" w:rsidRDefault="00D9753A" w:rsidP="00D9753A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6" w:name="_Toc140572282"/>
      <w:proofErr w:type="spellStart"/>
      <w:r>
        <w:rPr>
          <w:rFonts w:ascii="宋体" w:hAnsi="宋体" w:hint="eastAsia"/>
          <w:color w:val="000000"/>
          <w:sz w:val="24"/>
          <w:szCs w:val="24"/>
        </w:rPr>
        <w:t>技术参数与要求</w:t>
      </w:r>
      <w:bookmarkEnd w:id="6"/>
      <w:proofErr w:type="spellEnd"/>
    </w:p>
    <w:p w:rsidR="00D9753A" w:rsidRDefault="00D9753A" w:rsidP="00D9753A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1、数</w:t>
      </w:r>
      <w:proofErr w:type="gramStart"/>
      <w:r>
        <w:rPr>
          <w:rFonts w:ascii="宋体" w:hAnsi="宋体" w:hint="eastAsia"/>
          <w:b/>
          <w:bCs/>
          <w:sz w:val="24"/>
        </w:rPr>
        <w:t>字源表</w:t>
      </w:r>
      <w:proofErr w:type="gramEnd"/>
      <w:r>
        <w:rPr>
          <w:rFonts w:ascii="宋体" w:hAnsi="宋体" w:hint="eastAsia"/>
          <w:b/>
          <w:bCs/>
          <w:sz w:val="24"/>
        </w:rPr>
        <w:t>参数指标：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可进行高准确度的I-V（电流与电压）测量。测量精度6位半以上。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电压输出范围: ≥210V，电压精度：≥1uV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 xml:space="preserve">电流输出范围: ≥3A@200V，电流精度：≥1pA 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测量通道：≥1通道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hint="eastAsia"/>
          <w:noProof/>
        </w:rPr>
        <w:lastRenderedPageBreak/>
        <w:t>控制接口：支持</w:t>
      </w:r>
      <w:r>
        <w:rPr>
          <w:noProof/>
        </w:rPr>
        <w:t>USB,GPIO,LAN,RS-232</w:t>
      </w:r>
    </w:p>
    <w:p w:rsidR="00D9753A" w:rsidRDefault="00D9753A" w:rsidP="00D9753A">
      <w:pPr>
        <w:numPr>
          <w:ilvl w:val="0"/>
          <w:numId w:val="4"/>
        </w:num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低失真函数发生器参数指标：</w:t>
      </w:r>
    </w:p>
    <w:p w:rsidR="00D9753A" w:rsidRDefault="00D9753A" w:rsidP="00D9753A">
      <w:pPr>
        <w:spacing w:line="360" w:lineRule="auto"/>
        <w:ind w:left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 xml:space="preserve">10 </w:t>
      </w:r>
      <w:proofErr w:type="spellStart"/>
      <w:r>
        <w:rPr>
          <w:rFonts w:ascii="宋体" w:hAnsi="宋体" w:hint="eastAsia"/>
          <w:bCs/>
          <w:szCs w:val="21"/>
        </w:rPr>
        <w:t>mHz</w:t>
      </w:r>
      <w:proofErr w:type="spellEnd"/>
      <w:r>
        <w:rPr>
          <w:rFonts w:ascii="宋体" w:hAnsi="宋体" w:hint="eastAsia"/>
          <w:bCs/>
          <w:szCs w:val="21"/>
        </w:rPr>
        <w:t>至200 kHz频率范围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&lt;100 dB 失真（至20 kHz）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正弦，方波，白色和粉红色噪声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20μ</w:t>
      </w:r>
      <w:proofErr w:type="spellStart"/>
      <w:r>
        <w:rPr>
          <w:rFonts w:ascii="宋体" w:hAnsi="宋体" w:hint="eastAsia"/>
          <w:bCs/>
          <w:szCs w:val="21"/>
        </w:rPr>
        <w:t>Vpp</w:t>
      </w:r>
      <w:proofErr w:type="spellEnd"/>
      <w:r>
        <w:rPr>
          <w:rFonts w:ascii="宋体" w:hAnsi="宋体" w:hint="eastAsia"/>
          <w:bCs/>
          <w:szCs w:val="21"/>
        </w:rPr>
        <w:t xml:space="preserve">至40 </w:t>
      </w:r>
      <w:proofErr w:type="spellStart"/>
      <w:r>
        <w:rPr>
          <w:rFonts w:ascii="宋体" w:hAnsi="宋体" w:hint="eastAsia"/>
          <w:bCs/>
          <w:szCs w:val="21"/>
        </w:rPr>
        <w:t>Vpp</w:t>
      </w:r>
      <w:proofErr w:type="spellEnd"/>
      <w:r>
        <w:rPr>
          <w:rFonts w:ascii="宋体" w:hAnsi="宋体" w:hint="eastAsia"/>
          <w:bCs/>
          <w:szCs w:val="21"/>
        </w:rPr>
        <w:t>输出范围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线性和对数频率扫描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 xml:space="preserve">25 </w:t>
      </w:r>
      <w:proofErr w:type="spellStart"/>
      <w:r>
        <w:rPr>
          <w:rFonts w:ascii="宋体" w:hAnsi="宋体" w:hint="eastAsia"/>
          <w:bCs/>
          <w:szCs w:val="21"/>
        </w:rPr>
        <w:t>ppm</w:t>
      </w:r>
      <w:proofErr w:type="spellEnd"/>
      <w:r>
        <w:rPr>
          <w:rFonts w:ascii="宋体" w:hAnsi="宋体" w:hint="eastAsia"/>
          <w:bCs/>
          <w:szCs w:val="21"/>
        </w:rPr>
        <w:t>的频率精度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10 MHz参考输入（可选）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平衡和不平衡的产出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RS-232和GPIB接口</w:t>
      </w:r>
    </w:p>
    <w:p w:rsidR="00D9753A" w:rsidRDefault="00D9753A" w:rsidP="00D9753A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3、静电枪参数指标：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30kV 空气/接触放电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</w:r>
      <w:r>
        <w:rPr>
          <w:rFonts w:ascii="宋体" w:hAnsi="Calibri" w:cs="宋体" w:hint="eastAsia"/>
          <w:color w:val="001634"/>
          <w:kern w:val="0"/>
          <w:szCs w:val="21"/>
        </w:rPr>
        <w:t>符合</w:t>
      </w:r>
      <w:r>
        <w:rPr>
          <w:rFonts w:ascii="TimesNewRomanPSMT" w:hAnsi="TimesNewRomanPSMT" w:cs="TimesNewRomanPSMT"/>
          <w:color w:val="000000"/>
          <w:kern w:val="0"/>
          <w:szCs w:val="21"/>
        </w:rPr>
        <w:t xml:space="preserve">IEC/EN 61000-4-2 </w:t>
      </w:r>
      <w:r>
        <w:rPr>
          <w:rFonts w:ascii="宋体" w:hAnsi="Calibri" w:cs="宋体" w:hint="eastAsia"/>
          <w:color w:val="000000"/>
          <w:kern w:val="0"/>
          <w:szCs w:val="21"/>
        </w:rPr>
        <w:t>（</w:t>
      </w:r>
      <w:r>
        <w:rPr>
          <w:rFonts w:ascii="TimesNewRomanPSMT" w:hAnsi="TimesNewRomanPSMT" w:cs="TimesNewRomanPSMT"/>
          <w:color w:val="000000"/>
          <w:kern w:val="0"/>
          <w:szCs w:val="21"/>
        </w:rPr>
        <w:t>2001</w:t>
      </w:r>
      <w:r>
        <w:rPr>
          <w:rFonts w:ascii="宋体" w:hAnsi="Calibri" w:cs="宋体" w:hint="eastAsia"/>
          <w:color w:val="000000"/>
          <w:kern w:val="0"/>
          <w:szCs w:val="21"/>
        </w:rPr>
        <w:t>）标准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</w:r>
      <w:r>
        <w:rPr>
          <w:rFonts w:ascii="宋体" w:hAnsi="Calibri" w:cs="宋体" w:hint="eastAsia"/>
          <w:color w:val="000000"/>
          <w:kern w:val="0"/>
          <w:szCs w:val="21"/>
        </w:rPr>
        <w:t xml:space="preserve">空气放电： </w:t>
      </w:r>
      <w:r>
        <w:rPr>
          <w:rFonts w:ascii="TimesNewRomanPSMT" w:hAnsi="TimesNewRomanPSMT" w:cs="TimesNewRomanPSMT"/>
          <w:color w:val="001634"/>
          <w:kern w:val="0"/>
          <w:szCs w:val="21"/>
        </w:rPr>
        <w:t>200V</w:t>
      </w:r>
      <w:r>
        <w:rPr>
          <w:rFonts w:ascii="宋体" w:hAnsi="Calibri" w:cs="宋体" w:hint="eastAsia"/>
          <w:color w:val="001634"/>
          <w:kern w:val="0"/>
          <w:szCs w:val="21"/>
        </w:rPr>
        <w:t>至</w:t>
      </w:r>
      <w:r>
        <w:rPr>
          <w:rFonts w:ascii="TimesNewRomanPSMT" w:hAnsi="TimesNewRomanPSMT" w:cs="TimesNewRomanPSMT"/>
          <w:color w:val="001634"/>
          <w:kern w:val="0"/>
          <w:szCs w:val="21"/>
        </w:rPr>
        <w:t>3</w:t>
      </w:r>
      <w:r>
        <w:rPr>
          <w:rFonts w:ascii="TimesNewRomanPSMT" w:hAnsi="TimesNewRomanPSMT" w:cs="TimesNewRomanPSMT"/>
          <w:color w:val="000000"/>
          <w:kern w:val="0"/>
          <w:szCs w:val="21"/>
        </w:rPr>
        <w:t>0 kV</w:t>
      </w:r>
      <w:r>
        <w:rPr>
          <w:rFonts w:ascii="宋体" w:hAnsi="Calibri" w:cs="宋体" w:hint="eastAsia"/>
          <w:color w:val="001634"/>
          <w:kern w:val="0"/>
          <w:szCs w:val="21"/>
        </w:rPr>
        <w:t>（步长</w:t>
      </w:r>
      <w:r>
        <w:rPr>
          <w:rFonts w:ascii="TimesNewRomanPSMT" w:hAnsi="TimesNewRomanPSMT" w:cs="TimesNewRomanPSMT"/>
          <w:color w:val="001634"/>
          <w:kern w:val="0"/>
          <w:szCs w:val="21"/>
        </w:rPr>
        <w:t>100V</w:t>
      </w:r>
      <w:r>
        <w:rPr>
          <w:rFonts w:ascii="宋体" w:hAnsi="Calibri" w:cs="宋体" w:hint="eastAsia"/>
          <w:color w:val="001634"/>
          <w:kern w:val="0"/>
          <w:szCs w:val="21"/>
        </w:rPr>
        <w:t>）；接触放电：</w:t>
      </w:r>
      <w:r>
        <w:rPr>
          <w:rFonts w:ascii="TimesNewRomanPSMT" w:hAnsi="TimesNewRomanPSMT" w:cs="TimesNewRomanPSMT"/>
          <w:color w:val="001634"/>
          <w:kern w:val="0"/>
          <w:szCs w:val="21"/>
        </w:rPr>
        <w:t>200V</w:t>
      </w:r>
      <w:r>
        <w:rPr>
          <w:rFonts w:ascii="宋体" w:hAnsi="Calibri" w:cs="宋体" w:hint="eastAsia"/>
          <w:color w:val="001634"/>
          <w:kern w:val="0"/>
          <w:szCs w:val="21"/>
        </w:rPr>
        <w:t>至</w:t>
      </w:r>
      <w:r>
        <w:rPr>
          <w:rFonts w:ascii="TimesNewRomanPSMT" w:hAnsi="TimesNewRomanPSMT" w:cs="TimesNewRomanPSMT"/>
          <w:color w:val="001634"/>
          <w:kern w:val="0"/>
          <w:szCs w:val="21"/>
        </w:rPr>
        <w:t>30kV</w:t>
      </w:r>
      <w:r>
        <w:rPr>
          <w:rFonts w:ascii="宋体" w:hAnsi="Calibri" w:cs="宋体" w:hint="eastAsia"/>
          <w:color w:val="001634"/>
          <w:kern w:val="0"/>
          <w:szCs w:val="21"/>
        </w:rPr>
        <w:t>（步长</w:t>
      </w:r>
      <w:r>
        <w:rPr>
          <w:rFonts w:ascii="TimesNewRomanPSMT" w:hAnsi="TimesNewRomanPSMT" w:cs="TimesNewRomanPSMT"/>
          <w:color w:val="001634"/>
          <w:kern w:val="0"/>
          <w:szCs w:val="21"/>
        </w:rPr>
        <w:t>100V</w:t>
      </w:r>
      <w:r>
        <w:rPr>
          <w:rFonts w:ascii="宋体" w:hAnsi="Calibri" w:cs="宋体" w:hint="eastAsia"/>
          <w:color w:val="001634"/>
          <w:kern w:val="0"/>
          <w:szCs w:val="21"/>
        </w:rPr>
        <w:t>）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Calibri" w:cs="宋体" w:hint="eastAsia"/>
          <w:color w:val="000000"/>
          <w:kern w:val="0"/>
          <w:szCs w:val="21"/>
        </w:rPr>
        <w:t>符合</w:t>
      </w:r>
      <w:r>
        <w:rPr>
          <w:rFonts w:ascii="TimesNewRomanPSMT" w:hAnsi="TimesNewRomanPSMT" w:cs="TimesNewRomanPSMT"/>
          <w:color w:val="000000"/>
          <w:kern w:val="0"/>
          <w:szCs w:val="21"/>
        </w:rPr>
        <w:t>IEC</w:t>
      </w:r>
      <w:r>
        <w:rPr>
          <w:rFonts w:ascii="宋体" w:hAnsi="Calibri" w:cs="宋体" w:hint="eastAsia"/>
          <w:color w:val="2E2E2E"/>
          <w:kern w:val="0"/>
          <w:szCs w:val="21"/>
        </w:rPr>
        <w:t>标准的球形头和</w:t>
      </w:r>
      <w:r>
        <w:rPr>
          <w:rFonts w:ascii="宋体" w:hAnsi="Calibri" w:cs="宋体" w:hint="eastAsia"/>
          <w:color w:val="000000"/>
          <w:kern w:val="0"/>
          <w:szCs w:val="21"/>
        </w:rPr>
        <w:t>锥形头，可更换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</w:r>
      <w:r>
        <w:rPr>
          <w:rFonts w:ascii="TimesNewRomanPSMT" w:hAnsi="TimesNewRomanPSMT" w:cs="TimesNewRomanPSMT"/>
          <w:color w:val="000000"/>
          <w:kern w:val="0"/>
          <w:szCs w:val="21"/>
        </w:rPr>
        <w:t>kV</w:t>
      </w:r>
      <w:r>
        <w:rPr>
          <w:rFonts w:ascii="TimesNewRomanPSMT" w:hAnsi="TimesNewRomanPSMT" w:cs="TimesNewRomanPSMT" w:hint="eastAsia"/>
          <w:color w:val="000000"/>
          <w:kern w:val="0"/>
          <w:szCs w:val="21"/>
        </w:rPr>
        <w:t>精度</w:t>
      </w:r>
      <w:r>
        <w:rPr>
          <w:rFonts w:ascii="宋体" w:hAnsi="TimesNewRomanPSMT" w:cs="宋体" w:hint="eastAsia"/>
          <w:color w:val="000000"/>
          <w:kern w:val="0"/>
          <w:szCs w:val="21"/>
        </w:rPr>
        <w:t>，</w:t>
      </w:r>
      <w:r>
        <w:rPr>
          <w:rFonts w:ascii="宋体" w:hAnsi="TimesNewRomanPSMT" w:cs="宋体" w:hint="eastAsia"/>
          <w:color w:val="2E2E2E"/>
          <w:kern w:val="0"/>
          <w:szCs w:val="21"/>
        </w:rPr>
        <w:t>精度优于</w:t>
      </w:r>
      <w:r>
        <w:rPr>
          <w:rFonts w:ascii="TimesNewRomanPSMT" w:hAnsi="TimesNewRomanPSMT" w:cs="TimesNewRomanPSMT"/>
          <w:color w:val="2E2E2E"/>
          <w:kern w:val="0"/>
          <w:szCs w:val="21"/>
        </w:rPr>
        <w:t xml:space="preserve">±5% </w:t>
      </w:r>
      <w:r>
        <w:rPr>
          <w:rFonts w:ascii="宋体" w:hAnsi="TimesNewRomanPSMT" w:cs="宋体" w:hint="eastAsia"/>
          <w:color w:val="000000"/>
          <w:kern w:val="0"/>
          <w:szCs w:val="21"/>
        </w:rPr>
        <w:t>（稳态）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</w:r>
      <w:r>
        <w:rPr>
          <w:rFonts w:ascii="TimesNewRomanPSMT" w:hAnsi="TimesNewRomanPSMT" w:cs="TimesNewRomanPSMT"/>
          <w:color w:val="000000"/>
          <w:kern w:val="0"/>
          <w:szCs w:val="21"/>
        </w:rPr>
        <w:t>&gt; 5 s</w:t>
      </w:r>
      <w:r>
        <w:rPr>
          <w:rFonts w:ascii="宋体" w:hAnsi="TimesNewRomanPSMT" w:cs="宋体" w:hint="eastAsia"/>
          <w:color w:val="2E2E2E"/>
          <w:kern w:val="0"/>
          <w:szCs w:val="21"/>
        </w:rPr>
        <w:t>（充电电压</w:t>
      </w:r>
      <w:r>
        <w:rPr>
          <w:rFonts w:ascii="TimesNewRomanPSMT" w:hAnsi="TimesNewRomanPSMT" w:cs="TimesNewRomanPSMT"/>
          <w:color w:val="000000"/>
          <w:kern w:val="0"/>
          <w:szCs w:val="21"/>
        </w:rPr>
        <w:t>±5%</w:t>
      </w:r>
      <w:r>
        <w:rPr>
          <w:rFonts w:ascii="宋体" w:hAnsi="TimesNewRomanPSMT" w:cs="宋体" w:hint="eastAsia"/>
          <w:color w:val="000000"/>
          <w:kern w:val="0"/>
          <w:szCs w:val="21"/>
        </w:rPr>
        <w:t>）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TimesNewRomanPSMT" w:cs="宋体" w:hint="eastAsia"/>
          <w:color w:val="000000"/>
          <w:kern w:val="0"/>
          <w:szCs w:val="21"/>
        </w:rPr>
        <w:t>触发方式：支持手柄触发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</w:r>
      <w:r>
        <w:rPr>
          <w:rFonts w:ascii="宋体" w:hAnsi="TimesNewRomanPSMT" w:cs="宋体" w:hint="eastAsia"/>
          <w:color w:val="000000"/>
          <w:kern w:val="0"/>
          <w:szCs w:val="21"/>
        </w:rPr>
        <w:t>充放电：</w:t>
      </w:r>
      <w:r>
        <w:rPr>
          <w:rFonts w:ascii="宋体" w:hAnsi="Calibri" w:cs="宋体" w:hint="eastAsia"/>
          <w:color w:val="2E2E2E"/>
          <w:kern w:val="0"/>
          <w:szCs w:val="21"/>
        </w:rPr>
        <w:t>正</w:t>
      </w:r>
      <w:r>
        <w:rPr>
          <w:rFonts w:ascii="TimesNewRomanPSMT" w:hAnsi="TimesNewRomanPSMT" w:cs="TimesNewRomanPSMT"/>
          <w:color w:val="2E2E2E"/>
          <w:kern w:val="0"/>
          <w:szCs w:val="21"/>
        </w:rPr>
        <w:t>/</w:t>
      </w:r>
      <w:r>
        <w:rPr>
          <w:rFonts w:ascii="宋体" w:hAnsi="Calibri" w:cs="宋体" w:hint="eastAsia"/>
          <w:color w:val="2E2E2E"/>
          <w:kern w:val="0"/>
          <w:szCs w:val="21"/>
        </w:rPr>
        <w:t>负</w:t>
      </w:r>
      <w:r>
        <w:rPr>
          <w:rFonts w:ascii="TimesNewRomanPSMT" w:hAnsi="TimesNewRomanPSMT" w:cs="TimesNewRomanPSMT"/>
          <w:color w:val="2E2E2E"/>
          <w:kern w:val="0"/>
          <w:szCs w:val="21"/>
        </w:rPr>
        <w:t>/</w:t>
      </w:r>
      <w:r>
        <w:rPr>
          <w:rFonts w:ascii="宋体" w:hAnsi="Calibri" w:cs="宋体" w:hint="eastAsia"/>
          <w:color w:val="2E2E2E"/>
          <w:kern w:val="0"/>
          <w:szCs w:val="21"/>
        </w:rPr>
        <w:t>自动切换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工作方式：</w:t>
      </w:r>
      <w:r>
        <w:rPr>
          <w:rFonts w:ascii="宋体" w:hAnsi="Calibri" w:cs="宋体" w:hint="eastAsia"/>
          <w:color w:val="001634"/>
          <w:kern w:val="0"/>
          <w:szCs w:val="21"/>
        </w:rPr>
        <w:t>单次放电</w:t>
      </w:r>
      <w:r>
        <w:rPr>
          <w:rFonts w:ascii="TimesNewRomanPSMT" w:hAnsi="TimesNewRomanPSMT" w:cs="TimesNewRomanPSMT"/>
          <w:color w:val="001634"/>
          <w:kern w:val="0"/>
          <w:szCs w:val="21"/>
        </w:rPr>
        <w:t>/</w:t>
      </w:r>
      <w:r>
        <w:rPr>
          <w:rFonts w:ascii="宋体" w:hAnsi="Calibri" w:cs="宋体" w:hint="eastAsia"/>
          <w:color w:val="001634"/>
          <w:kern w:val="0"/>
          <w:szCs w:val="21"/>
        </w:rPr>
        <w:t>重复放电；脉冲计数器：</w:t>
      </w:r>
      <w:r>
        <w:rPr>
          <w:rFonts w:ascii="TimesNewRomanPSMT" w:hAnsi="TimesNewRomanPSMT" w:cs="TimesNewRomanPSMT"/>
          <w:color w:val="001634"/>
          <w:kern w:val="0"/>
          <w:szCs w:val="21"/>
        </w:rPr>
        <w:t>0-9999</w:t>
      </w:r>
      <w:r>
        <w:rPr>
          <w:rFonts w:ascii="宋体" w:hAnsi="Calibri" w:cs="宋体" w:hint="eastAsia"/>
          <w:color w:val="001634"/>
          <w:kern w:val="0"/>
          <w:szCs w:val="21"/>
        </w:rPr>
        <w:t>；预置脉冲计数器：</w:t>
      </w:r>
      <w:r>
        <w:rPr>
          <w:rFonts w:ascii="TimesNewRomanPSMT" w:hAnsi="TimesNewRomanPSMT" w:cs="TimesNewRomanPSMT"/>
          <w:color w:val="001634"/>
          <w:kern w:val="0"/>
          <w:szCs w:val="21"/>
        </w:rPr>
        <w:t>0-9999</w:t>
      </w:r>
      <w:r>
        <w:rPr>
          <w:rFonts w:ascii="宋体" w:hAnsi="Calibri" w:cs="宋体" w:hint="eastAsia"/>
          <w:color w:val="001634"/>
          <w:kern w:val="0"/>
          <w:szCs w:val="21"/>
        </w:rPr>
        <w:t>；</w:t>
      </w:r>
    </w:p>
    <w:p w:rsidR="00D9753A" w:rsidRDefault="00D9753A" w:rsidP="00D9753A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4、电池模拟器参数指标：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电压模拟通道数：≥20， 温度模拟通道数：≥12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电压模拟输出范围：0~6V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电压通道电流范围：-3A ~ 3A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电压可调步进：1mV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电流</w:t>
      </w:r>
      <w:proofErr w:type="gramStart"/>
      <w:r>
        <w:rPr>
          <w:rFonts w:ascii="宋体" w:hAnsi="宋体" w:hint="eastAsia"/>
          <w:bCs/>
          <w:szCs w:val="21"/>
        </w:rPr>
        <w:t>回读精度</w:t>
      </w:r>
      <w:proofErr w:type="gramEnd"/>
      <w:r>
        <w:rPr>
          <w:rFonts w:ascii="宋体" w:hAnsi="宋体" w:hint="eastAsia"/>
          <w:bCs/>
          <w:szCs w:val="21"/>
        </w:rPr>
        <w:t>：≦1mA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电压设定精度：≦1mV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电压</w:t>
      </w:r>
      <w:proofErr w:type="gramStart"/>
      <w:r>
        <w:rPr>
          <w:rFonts w:ascii="宋体" w:hAnsi="宋体" w:hint="eastAsia"/>
          <w:bCs/>
          <w:szCs w:val="21"/>
        </w:rPr>
        <w:t>回读精度</w:t>
      </w:r>
      <w:proofErr w:type="gramEnd"/>
      <w:r>
        <w:rPr>
          <w:rFonts w:ascii="宋体" w:hAnsi="宋体" w:hint="eastAsia"/>
          <w:bCs/>
          <w:szCs w:val="21"/>
        </w:rPr>
        <w:t>：≦1mV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电阻可调范围：0~6MOhm，步进10R，精度0.1%±50R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lastRenderedPageBreak/>
        <w:t>▲</w:t>
      </w:r>
      <w:r>
        <w:rPr>
          <w:rFonts w:ascii="宋体" w:hAnsi="宋体" w:hint="eastAsia"/>
          <w:bCs/>
          <w:szCs w:val="21"/>
        </w:rPr>
        <w:tab/>
        <w:t>支持故障注入测试。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支持接口程控。</w:t>
      </w:r>
    </w:p>
    <w:p w:rsidR="00D9753A" w:rsidRDefault="00D9753A" w:rsidP="00D9753A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5、500M示波器参数指标：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模拟带宽：500MHz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采样率：≥4GSa/s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波形刷新率：≥</w:t>
      </w:r>
      <w:r>
        <w:rPr>
          <w:rFonts w:ascii="Helvetica" w:hAnsi="Helvetica"/>
          <w:color w:val="666666"/>
          <w:sz w:val="18"/>
          <w:szCs w:val="18"/>
          <w:shd w:val="clear" w:color="auto" w:fill="FFFFFF"/>
        </w:rPr>
        <w:t>1Mwfms/s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输入通道：4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最大存储深度：≥512Mpts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支持CAN,LIN,CAN-FD,I2C,SPI,I2S,UART,USB1.1,等多种协议解析。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支持时序分析</w:t>
      </w:r>
    </w:p>
    <w:p w:rsidR="00D9753A" w:rsidRDefault="00D9753A" w:rsidP="00D9753A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6、30V可调直流稳压源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电压输出范围: ≥30V，电压精度：&lt;0.5%+5mV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输出功率：≥190W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输出通道：1通道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支持过流保护，支持过压保护。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电压调节分辨率：10mV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纹波及噪声（20Hz~20MHz），</w:t>
      </w:r>
      <w:r>
        <w:rPr>
          <w:rFonts w:ascii="宋体" w:hAnsi="宋体" w:hint="eastAsia"/>
          <w:bCs/>
          <w:szCs w:val="21"/>
        </w:rPr>
        <w:fldChar w:fldCharType="begin"/>
      </w:r>
      <w:r>
        <w:rPr>
          <w:rFonts w:ascii="宋体" w:hAnsi="宋体" w:hint="eastAsia"/>
          <w:bCs/>
          <w:szCs w:val="21"/>
        </w:rPr>
        <w:instrText xml:space="preserve"> QUOTE </w:instrText>
      </w:r>
      <w:r>
        <w:rPr>
          <w:position w:val="-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16pt" equationxml="&lt;">
            <v:imagedata r:id="rId5" o:title="" chromakey="white"/>
          </v:shape>
        </w:pict>
      </w:r>
      <w:r>
        <w:rPr>
          <w:rFonts w:ascii="宋体" w:hAnsi="宋体" w:hint="eastAsia"/>
          <w:bCs/>
          <w:szCs w:val="21"/>
        </w:rPr>
        <w:instrText xml:space="preserve"> </w:instrText>
      </w:r>
      <w:r>
        <w:rPr>
          <w:rFonts w:ascii="宋体" w:hAnsi="宋体"/>
          <w:bCs/>
          <w:szCs w:val="21"/>
        </w:rPr>
        <w:fldChar w:fldCharType="separate"/>
      </w:r>
      <w:r>
        <w:rPr>
          <w:position w:val="-8"/>
        </w:rPr>
        <w:pict>
          <v:shape id="_x0000_i1026" type="#_x0000_t75" style="width:7.5pt;height:16pt" equationxml="&lt;">
            <v:imagedata r:id="rId5" o:title="" chromakey="white"/>
          </v:shape>
        </w:pict>
      </w:r>
      <w:r>
        <w:rPr>
          <w:rFonts w:ascii="宋体" w:hAnsi="宋体" w:hint="eastAsia"/>
          <w:bCs/>
          <w:szCs w:val="21"/>
        </w:rPr>
        <w:fldChar w:fldCharType="end"/>
      </w:r>
      <w:r>
        <w:rPr>
          <w:rFonts w:ascii="宋体" w:hAnsi="宋体" w:hint="eastAsia"/>
          <w:bCs/>
          <w:szCs w:val="21"/>
        </w:rPr>
        <w:t>10mVrms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支持LCD 数码管显示</w:t>
      </w:r>
    </w:p>
    <w:p w:rsidR="00D9753A" w:rsidRDefault="00D9753A" w:rsidP="00D9753A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7、120V可调直流稳压源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hint="eastAsia"/>
        </w:rPr>
        <w:t>★</w:t>
      </w:r>
      <w:r>
        <w:rPr>
          <w:rFonts w:ascii="宋体" w:hAnsi="宋体" w:hint="eastAsia"/>
          <w:bCs/>
          <w:szCs w:val="21"/>
        </w:rPr>
        <w:tab/>
        <w:t>电压输出范围: ≥120V，电压精度：&lt;0.5%+5mV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输出功率：≥2400W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输出通道：2通道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支持过流保护，支持过压保护。</w:t>
      </w:r>
    </w:p>
    <w:p w:rsidR="00D9753A" w:rsidRDefault="00D9753A" w:rsidP="00D9753A">
      <w:pPr>
        <w:spacing w:line="360" w:lineRule="auto"/>
        <w:ind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ab/>
        <w:t>电压调节分辨率：≥10mV</w:t>
      </w:r>
    </w:p>
    <w:p w:rsidR="00D9753A" w:rsidRDefault="00D9753A" w:rsidP="00D9753A">
      <w:pPr>
        <w:spacing w:line="360" w:lineRule="auto"/>
        <w:ind w:left="84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纹波及噪声，</w:t>
      </w:r>
      <w:r>
        <w:rPr>
          <w:rFonts w:ascii="宋体" w:hAnsi="宋体" w:hint="eastAsia"/>
          <w:bCs/>
          <w:szCs w:val="21"/>
        </w:rPr>
        <w:fldChar w:fldCharType="begin"/>
      </w:r>
      <w:r>
        <w:rPr>
          <w:rFonts w:ascii="宋体" w:hAnsi="宋体" w:hint="eastAsia"/>
          <w:bCs/>
          <w:szCs w:val="21"/>
        </w:rPr>
        <w:instrText xml:space="preserve"> QUOTE </w:instrText>
      </w:r>
      <w:r>
        <w:rPr>
          <w:position w:val="-8"/>
        </w:rPr>
        <w:pict>
          <v:shape id="_x0000_i1027" type="#_x0000_t75" style="width:7.5pt;height:16pt" equationxml="&lt;">
            <v:imagedata r:id="rId5" o:title="" chromakey="white"/>
          </v:shape>
        </w:pict>
      </w:r>
      <w:r>
        <w:rPr>
          <w:rFonts w:ascii="宋体" w:hAnsi="宋体" w:hint="eastAsia"/>
          <w:bCs/>
          <w:szCs w:val="21"/>
        </w:rPr>
        <w:instrText xml:space="preserve"> </w:instrText>
      </w:r>
      <w:r>
        <w:rPr>
          <w:rFonts w:ascii="宋体" w:hAnsi="宋体"/>
          <w:bCs/>
          <w:szCs w:val="21"/>
        </w:rPr>
        <w:fldChar w:fldCharType="separate"/>
      </w:r>
      <w:r>
        <w:rPr>
          <w:position w:val="-8"/>
        </w:rPr>
        <w:pict>
          <v:shape id="_x0000_i1028" type="#_x0000_t75" style="width:7.5pt;height:16pt" equationxml="&lt;">
            <v:imagedata r:id="rId5" o:title="" chromakey="white"/>
          </v:shape>
        </w:pict>
      </w:r>
      <w:r>
        <w:rPr>
          <w:rFonts w:ascii="宋体" w:hAnsi="宋体" w:hint="eastAsia"/>
          <w:bCs/>
          <w:szCs w:val="21"/>
        </w:rPr>
        <w:fldChar w:fldCharType="end"/>
      </w:r>
      <w:r>
        <w:rPr>
          <w:rFonts w:ascii="宋体" w:hAnsi="宋体" w:hint="eastAsia"/>
          <w:bCs/>
          <w:szCs w:val="21"/>
        </w:rPr>
        <w:t>10mVrms</w:t>
      </w:r>
    </w:p>
    <w:p w:rsidR="00D9753A" w:rsidRDefault="00D9753A" w:rsidP="00D9753A">
      <w:pPr>
        <w:spacing w:line="360" w:lineRule="auto"/>
        <w:ind w:left="840"/>
        <w:rPr>
          <w:rFonts w:hint="eastAsia"/>
        </w:rPr>
      </w:pPr>
      <w:r>
        <w:rPr>
          <w:rFonts w:ascii="宋体" w:hAnsi="宋体" w:hint="eastAsia"/>
          <w:bCs/>
          <w:szCs w:val="21"/>
        </w:rPr>
        <w:t>支持LCD 数码管显示</w:t>
      </w:r>
    </w:p>
    <w:p w:rsidR="002E67F2" w:rsidRDefault="002E67F2"/>
    <w:sectPr w:rsidR="002E6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3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20851"/>
    <w:multiLevelType w:val="hybridMultilevel"/>
    <w:tmpl w:val="1618E1E4"/>
    <w:lvl w:ilvl="0" w:tplc="446C3D2C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40C54"/>
    <w:multiLevelType w:val="hybridMultilevel"/>
    <w:tmpl w:val="D9448AD4"/>
    <w:lvl w:ilvl="0" w:tplc="33E68940">
      <w:start w:val="2"/>
      <w:numFmt w:val="decimal"/>
      <w:lvlText w:val="%1、"/>
      <w:lvlJc w:val="left"/>
      <w:pPr>
        <w:ind w:left="384" w:hanging="384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753A"/>
    <w:rsid w:val="002E67F2"/>
    <w:rsid w:val="00D9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D9753A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bCs/>
      <w:kern w:val="0"/>
      <w:sz w:val="32"/>
      <w:szCs w:val="32"/>
      <w:lang/>
    </w:rPr>
  </w:style>
  <w:style w:type="paragraph" w:styleId="3">
    <w:name w:val="heading 3"/>
    <w:basedOn w:val="a"/>
    <w:next w:val="a"/>
    <w:link w:val="3Char"/>
    <w:semiHidden/>
    <w:unhideWhenUsed/>
    <w:qFormat/>
    <w:rsid w:val="00D9753A"/>
    <w:pPr>
      <w:keepNext/>
      <w:keepLines/>
      <w:spacing w:before="260" w:after="260" w:line="412" w:lineRule="auto"/>
      <w:outlineLvl w:val="2"/>
    </w:pPr>
    <w:rPr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semiHidden/>
    <w:rsid w:val="00D9753A"/>
    <w:rPr>
      <w:rFonts w:ascii="Arial" w:eastAsia="黑体" w:hAnsi="Arial" w:cs="Times New Roman"/>
      <w:b/>
      <w:bCs/>
      <w:kern w:val="0"/>
      <w:sz w:val="32"/>
      <w:szCs w:val="32"/>
      <w:lang/>
    </w:rPr>
  </w:style>
  <w:style w:type="character" w:customStyle="1" w:styleId="3Char">
    <w:name w:val="标题 3 Char"/>
    <w:basedOn w:val="a0"/>
    <w:link w:val="3"/>
    <w:semiHidden/>
    <w:rsid w:val="00D9753A"/>
    <w:rPr>
      <w:rFonts w:ascii="Times New Roman" w:eastAsia="宋体" w:hAnsi="Times New Roman" w:cs="Times New Roman"/>
      <w:b/>
      <w:bCs/>
      <w:kern w:val="0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</dc:creator>
  <cp:keywords/>
  <dc:description/>
  <cp:lastModifiedBy>ZOS</cp:lastModifiedBy>
  <cp:revision>3</cp:revision>
  <dcterms:created xsi:type="dcterms:W3CDTF">2023-08-22T02:52:00Z</dcterms:created>
  <dcterms:modified xsi:type="dcterms:W3CDTF">2023-08-22T02:52:00Z</dcterms:modified>
</cp:coreProperties>
</file>