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A0" w:rsidRDefault="00FE53A0" w:rsidP="00FE53A0">
      <w:pPr>
        <w:pStyle w:val="3"/>
        <w:spacing w:after="72" w:line="260" w:lineRule="exact"/>
        <w:jc w:val="center"/>
        <w:rPr>
          <w:rFonts w:ascii="仿宋_GB2312" w:eastAsia="仿宋_GB2312" w:hint="eastAsia"/>
          <w:sz w:val="28"/>
          <w:szCs w:val="28"/>
        </w:rPr>
      </w:pPr>
      <w:bookmarkStart w:id="0" w:name="_Toc262482724"/>
      <w:r>
        <w:rPr>
          <w:rFonts w:ascii="仿宋_GB2312" w:eastAsia="仿宋_GB2312" w:hint="eastAsia"/>
          <w:sz w:val="28"/>
          <w:szCs w:val="28"/>
        </w:rPr>
        <w:t>项目摘要（详见招标文件）</w:t>
      </w:r>
    </w:p>
    <w:p w:rsidR="00FE53A0" w:rsidRDefault="00FE53A0" w:rsidP="00FE53A0">
      <w:pPr>
        <w:pStyle w:val="3"/>
        <w:spacing w:after="72" w:line="260" w:lineRule="exact"/>
        <w:jc w:val="center"/>
        <w:rPr>
          <w:rFonts w:ascii="仿宋_GB2312" w:eastAsia="仿宋_GB2312" w:hint="eastAsia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声明：</w:t>
      </w:r>
    </w:p>
    <w:p w:rsidR="00FE53A0" w:rsidRDefault="00FE53A0" w:rsidP="00FE53A0">
      <w:pPr>
        <w:pStyle w:val="3"/>
        <w:spacing w:after="72" w:line="400" w:lineRule="exact"/>
        <w:rPr>
          <w:rFonts w:ascii="仿宋_GB2312" w:eastAsia="仿宋_GB2312" w:hint="eastAsia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 xml:space="preserve">    以下所述内容仅是本项目要求的摘要节选，其作用仅限于提供给那些有兴趣的供应商参考并决定是否参与投标，此内容不应被理解为招标文件中对项目的全部要求。</w:t>
      </w:r>
      <w:bookmarkStart w:id="1" w:name="技术要求"/>
      <w:bookmarkStart w:id="2" w:name="_Toc184089366"/>
      <w:bookmarkStart w:id="3" w:name="_Toc129965627"/>
      <w:bookmarkStart w:id="4" w:name="_Toc528836661"/>
      <w:bookmarkStart w:id="5" w:name="_Toc528855115"/>
      <w:bookmarkEnd w:id="0"/>
      <w:bookmarkEnd w:id="1"/>
    </w:p>
    <w:p w:rsidR="00FE53A0" w:rsidRPr="003F2D3B" w:rsidRDefault="00FE53A0" w:rsidP="00FE53A0">
      <w:pPr>
        <w:pStyle w:val="2"/>
        <w:numPr>
          <w:ilvl w:val="0"/>
          <w:numId w:val="1"/>
        </w:numPr>
        <w:spacing w:after="120" w:line="400" w:lineRule="exact"/>
        <w:rPr>
          <w:rFonts w:hint="eastAsia"/>
        </w:rPr>
      </w:pPr>
      <w:bookmarkStart w:id="6" w:name="_Toc145489646"/>
      <w:r w:rsidRPr="003F2D3B">
        <w:rPr>
          <w:rFonts w:hint="eastAsia"/>
        </w:rPr>
        <w:t>技术要求</w:t>
      </w:r>
      <w:bookmarkEnd w:id="6"/>
    </w:p>
    <w:p w:rsidR="00FE53A0" w:rsidRPr="003F2D3B" w:rsidRDefault="00FE53A0" w:rsidP="00FE53A0">
      <w:pPr>
        <w:pStyle w:val="3"/>
        <w:spacing w:before="120" w:after="0"/>
        <w:rPr>
          <w:rFonts w:ascii="宋体" w:hAnsi="宋体" w:hint="eastAsia"/>
          <w:sz w:val="24"/>
        </w:rPr>
      </w:pPr>
      <w:bookmarkStart w:id="7" w:name="_Toc528836662"/>
      <w:bookmarkStart w:id="8" w:name="_Toc36821223"/>
      <w:bookmarkStart w:id="9" w:name="_Toc528855116"/>
      <w:bookmarkStart w:id="10" w:name="_Toc145489647"/>
      <w:r w:rsidRPr="003F2D3B">
        <w:rPr>
          <w:rFonts w:ascii="宋体" w:hAnsi="宋体" w:hint="eastAsia"/>
          <w:sz w:val="24"/>
        </w:rPr>
        <w:t>（一）</w:t>
      </w:r>
      <w:r w:rsidRPr="003F2D3B">
        <w:rPr>
          <w:rFonts w:ascii="宋体" w:hAnsi="宋体"/>
          <w:sz w:val="24"/>
        </w:rPr>
        <w:t>总体要求</w:t>
      </w:r>
      <w:bookmarkStart w:id="11" w:name="ninejishuyaoqiu"/>
      <w:bookmarkStart w:id="12" w:name="_GoBack"/>
      <w:bookmarkEnd w:id="7"/>
      <w:bookmarkEnd w:id="8"/>
      <w:bookmarkEnd w:id="9"/>
      <w:bookmarkEnd w:id="10"/>
      <w:bookmarkEnd w:id="11"/>
      <w:bookmarkEnd w:id="12"/>
    </w:p>
    <w:p w:rsidR="00FE53A0" w:rsidRPr="003F2D3B" w:rsidRDefault="00FE53A0" w:rsidP="00FE53A0">
      <w:pPr>
        <w:tabs>
          <w:tab w:val="left" w:pos="1080"/>
        </w:tabs>
        <w:ind w:firstLineChars="200" w:firstLine="420"/>
        <w:rPr>
          <w:rFonts w:hAnsi="宋体" w:hint="eastAsia"/>
          <w:szCs w:val="21"/>
        </w:rPr>
      </w:pPr>
      <w:r w:rsidRPr="003F2D3B">
        <w:rPr>
          <w:rFonts w:hAnsi="宋体" w:hint="eastAsia"/>
          <w:szCs w:val="21"/>
        </w:rPr>
        <w:t>1</w:t>
      </w:r>
      <w:r w:rsidRPr="003F2D3B">
        <w:rPr>
          <w:rFonts w:hAnsi="宋体" w:hint="eastAsia"/>
          <w:szCs w:val="21"/>
        </w:rPr>
        <w:t>、符合中国相关法规和通用安全标准。若在调试过程中发现附件不全或不能运行，卖方应无偿补全、完善或更换，并承担买方由此产生的损失。</w:t>
      </w:r>
    </w:p>
    <w:p w:rsidR="00FE53A0" w:rsidRPr="003F2D3B" w:rsidRDefault="00FE53A0" w:rsidP="00FE53A0">
      <w:pPr>
        <w:tabs>
          <w:tab w:val="left" w:pos="1080"/>
        </w:tabs>
        <w:ind w:firstLineChars="200" w:firstLine="420"/>
        <w:rPr>
          <w:rFonts w:hAnsi="宋体" w:hint="eastAsia"/>
          <w:szCs w:val="21"/>
        </w:rPr>
      </w:pPr>
      <w:r w:rsidRPr="003F2D3B">
        <w:rPr>
          <w:rFonts w:hAnsi="宋体" w:hint="eastAsia"/>
          <w:szCs w:val="21"/>
        </w:rPr>
        <w:t>2</w:t>
      </w:r>
      <w:r w:rsidRPr="003F2D3B">
        <w:rPr>
          <w:rFonts w:hAnsi="宋体" w:hint="eastAsia"/>
          <w:szCs w:val="21"/>
        </w:rPr>
        <w:t>、投标人及其投标产品的制造厂商须保证其产品为原装正品。不接受分厂、贴牌及非正当进货渠道产品。由于投标人、制造厂商或其产品引起的法律纠纷、相关责任及由此引起的后果与采购人无关。由此给采购人造成任何损失由投标人及产品制造商承担。</w:t>
      </w:r>
    </w:p>
    <w:p w:rsidR="00FE53A0" w:rsidRPr="003F2D3B" w:rsidRDefault="00FE53A0" w:rsidP="00FE53A0">
      <w:pPr>
        <w:tabs>
          <w:tab w:val="left" w:pos="1080"/>
        </w:tabs>
        <w:ind w:firstLineChars="200" w:firstLine="420"/>
        <w:rPr>
          <w:rFonts w:hAnsi="宋体" w:hint="eastAsia"/>
          <w:szCs w:val="21"/>
        </w:rPr>
      </w:pPr>
      <w:r w:rsidRPr="003F2D3B">
        <w:rPr>
          <w:rFonts w:hAnsi="宋体" w:hint="eastAsia"/>
          <w:szCs w:val="21"/>
        </w:rPr>
        <w:t>3</w:t>
      </w:r>
      <w:r w:rsidRPr="003F2D3B">
        <w:rPr>
          <w:rFonts w:hAnsi="宋体" w:hint="eastAsia"/>
          <w:szCs w:val="21"/>
        </w:rPr>
        <w:t>、投标人必须提供全新的原包装产品，随机技术资料齐全，产品符合国家质量检测标准。</w:t>
      </w:r>
    </w:p>
    <w:p w:rsidR="00FE53A0" w:rsidRPr="003F2D3B" w:rsidRDefault="00FE53A0" w:rsidP="00FE53A0">
      <w:pPr>
        <w:tabs>
          <w:tab w:val="left" w:pos="1080"/>
        </w:tabs>
        <w:ind w:firstLineChars="200" w:firstLine="420"/>
        <w:rPr>
          <w:rFonts w:hAnsi="宋体" w:hint="eastAsia"/>
          <w:szCs w:val="21"/>
        </w:rPr>
      </w:pPr>
      <w:r w:rsidRPr="003F2D3B">
        <w:rPr>
          <w:rFonts w:hAnsi="宋体" w:hint="eastAsia"/>
          <w:szCs w:val="21"/>
        </w:rPr>
        <w:t>4</w:t>
      </w:r>
      <w:r w:rsidRPr="003F2D3B">
        <w:rPr>
          <w:rFonts w:hAnsi="宋体" w:hint="eastAsia"/>
          <w:szCs w:val="21"/>
        </w:rPr>
        <w:t>、本章技术要求仅为对设备的一般要求，投标人应按国际及国内的有关标准、规范及条例提供设备技术服务和承诺。技术要求中未列的，投标人认为须加以补充的内容，技术条款须特别注明，并提供相应资料。</w:t>
      </w:r>
    </w:p>
    <w:p w:rsidR="00FE53A0" w:rsidRPr="003F2D3B" w:rsidRDefault="00FE53A0" w:rsidP="00FE53A0">
      <w:pPr>
        <w:ind w:firstLineChars="200" w:firstLine="422"/>
        <w:rPr>
          <w:b/>
        </w:rPr>
      </w:pPr>
      <w:bookmarkStart w:id="13" w:name="_Toc528855117"/>
      <w:bookmarkStart w:id="14" w:name="_Toc36821224"/>
      <w:r w:rsidRPr="003F2D3B">
        <w:rPr>
          <w:rFonts w:hint="eastAsia"/>
          <w:b/>
        </w:rPr>
        <w:t>5</w:t>
      </w:r>
      <w:r w:rsidRPr="003F2D3B">
        <w:rPr>
          <w:rFonts w:hint="eastAsia"/>
          <w:b/>
        </w:rPr>
        <w:t>、评分时，如对一项招标技术要求（以划分框为准）中的内容存在两处（或以上）负偏离的，在评分时只作一项负偏离扣分。</w:t>
      </w:r>
    </w:p>
    <w:p w:rsidR="00FE53A0" w:rsidRPr="003F2D3B" w:rsidRDefault="00FE53A0" w:rsidP="00FE53A0">
      <w:pPr>
        <w:ind w:firstLineChars="200" w:firstLine="422"/>
        <w:rPr>
          <w:b/>
          <w:szCs w:val="21"/>
        </w:rPr>
      </w:pPr>
      <w:r w:rsidRPr="003F2D3B">
        <w:rPr>
          <w:rFonts w:hint="eastAsia"/>
          <w:b/>
          <w:szCs w:val="21"/>
        </w:rPr>
        <w:t>6</w:t>
      </w:r>
      <w:r w:rsidRPr="003F2D3B">
        <w:rPr>
          <w:rFonts w:hint="eastAsia"/>
          <w:b/>
          <w:szCs w:val="21"/>
        </w:rPr>
        <w:t>、带“</w:t>
      </w:r>
      <w:r w:rsidRPr="003F2D3B">
        <w:rPr>
          <w:rFonts w:ascii="宋体" w:hAnsi="宋体" w:cs="宋体" w:hint="eastAsia"/>
          <w:b/>
          <w:szCs w:val="21"/>
        </w:rPr>
        <w:t>★</w:t>
      </w:r>
      <w:r w:rsidRPr="003F2D3B">
        <w:rPr>
          <w:rFonts w:hint="eastAsia"/>
          <w:b/>
          <w:szCs w:val="21"/>
        </w:rPr>
        <w:t>”指标项为实质性条款，如出现负偏离，将被视为未实质性满足招标文件要求作投标无效处理；带“</w:t>
      </w:r>
      <w:r w:rsidRPr="003F2D3B">
        <w:t>▲</w:t>
      </w:r>
      <w:r w:rsidRPr="003F2D3B">
        <w:rPr>
          <w:rFonts w:hint="eastAsia"/>
          <w:b/>
          <w:szCs w:val="21"/>
        </w:rPr>
        <w:t>”指标项为重要参数条款，负偏离时依相关评分准则内容作重点扣分处理。</w:t>
      </w:r>
    </w:p>
    <w:p w:rsidR="00FE53A0" w:rsidRPr="003F2D3B" w:rsidRDefault="00FE53A0" w:rsidP="00FE53A0">
      <w:pPr>
        <w:ind w:firstLineChars="200" w:firstLine="422"/>
        <w:rPr>
          <w:b/>
          <w:szCs w:val="21"/>
        </w:rPr>
      </w:pPr>
      <w:r w:rsidRPr="003F2D3B">
        <w:rPr>
          <w:rFonts w:hint="eastAsia"/>
          <w:b/>
          <w:szCs w:val="21"/>
        </w:rPr>
        <w:t>7</w:t>
      </w:r>
      <w:r w:rsidRPr="003F2D3B">
        <w:rPr>
          <w:rFonts w:hint="eastAsia"/>
          <w:b/>
          <w:szCs w:val="21"/>
        </w:rPr>
        <w:t>、</w:t>
      </w:r>
      <w:bookmarkStart w:id="15" w:name="_Hlk72585069"/>
      <w:r w:rsidRPr="003F2D3B">
        <w:rPr>
          <w:rFonts w:hint="eastAsia"/>
          <w:b/>
          <w:szCs w:val="21"/>
        </w:rPr>
        <w:t>招标技术要求中，用</w:t>
      </w:r>
      <w:r w:rsidRPr="003F2D3B">
        <w:rPr>
          <w:rFonts w:hint="eastAsia"/>
          <w:b/>
          <w:color w:val="FF0000"/>
          <w:szCs w:val="21"/>
        </w:rPr>
        <w:t>红色加粗字体标注</w:t>
      </w:r>
      <w:r w:rsidRPr="003F2D3B">
        <w:rPr>
          <w:rFonts w:hint="eastAsia"/>
          <w:b/>
          <w:szCs w:val="21"/>
        </w:rPr>
        <w:t>的指标项均要求提供证明资料；其余指标项未要求提供证明资料，无需提供相关证明资料。</w:t>
      </w:r>
    </w:p>
    <w:p w:rsidR="00FE53A0" w:rsidRPr="003F2D3B" w:rsidRDefault="00FE53A0" w:rsidP="00FE53A0">
      <w:pPr>
        <w:ind w:firstLineChars="200" w:firstLine="422"/>
        <w:rPr>
          <w:b/>
          <w:szCs w:val="21"/>
        </w:rPr>
      </w:pPr>
      <w:r w:rsidRPr="003F2D3B">
        <w:rPr>
          <w:rFonts w:hint="eastAsia"/>
          <w:b/>
          <w:color w:val="FF0000"/>
        </w:rPr>
        <w:t>8</w:t>
      </w:r>
      <w:r w:rsidRPr="003F2D3B">
        <w:rPr>
          <w:b/>
          <w:color w:val="FF0000"/>
        </w:rPr>
        <w:t>、涉及区间的参数，除特别注明以外，</w:t>
      </w:r>
      <w:bookmarkStart w:id="16" w:name="_Hlk75447406"/>
      <w:r w:rsidRPr="003F2D3B">
        <w:rPr>
          <w:b/>
          <w:color w:val="FF0000"/>
        </w:rPr>
        <w:t>产品参数区间与招标要求不一致的均视为负偏离。</w:t>
      </w:r>
      <w:bookmarkEnd w:id="16"/>
      <w:r w:rsidRPr="003F2D3B">
        <w:rPr>
          <w:rFonts w:hint="eastAsia"/>
          <w:b/>
          <w:color w:val="FF0000"/>
        </w:rPr>
        <w:t>例：区间要求为</w:t>
      </w:r>
      <w:r w:rsidRPr="003F2D3B">
        <w:rPr>
          <w:rFonts w:hint="eastAsia"/>
          <w:b/>
          <w:color w:val="FF0000"/>
        </w:rPr>
        <w:t>5-20ML,</w:t>
      </w:r>
      <w:r w:rsidRPr="003F2D3B">
        <w:rPr>
          <w:rFonts w:hint="eastAsia"/>
          <w:b/>
          <w:color w:val="FF0000"/>
        </w:rPr>
        <w:t>只要响应的不是“</w:t>
      </w:r>
      <w:r w:rsidRPr="003F2D3B">
        <w:rPr>
          <w:b/>
          <w:color w:val="FF0000"/>
        </w:rPr>
        <w:t>5</w:t>
      </w:r>
      <w:r w:rsidRPr="003F2D3B">
        <w:rPr>
          <w:rFonts w:hint="eastAsia"/>
          <w:b/>
          <w:color w:val="FF0000"/>
        </w:rPr>
        <w:t>-20ML</w:t>
      </w:r>
      <w:r w:rsidRPr="003F2D3B">
        <w:rPr>
          <w:rFonts w:hint="eastAsia"/>
          <w:b/>
          <w:color w:val="FF0000"/>
        </w:rPr>
        <w:t>”，如投标文件响应为</w:t>
      </w:r>
      <w:r w:rsidRPr="003F2D3B">
        <w:rPr>
          <w:rFonts w:hint="eastAsia"/>
          <w:b/>
          <w:color w:val="FF0000"/>
        </w:rPr>
        <w:t xml:space="preserve"> 0-15ML </w:t>
      </w:r>
      <w:r w:rsidRPr="003F2D3B">
        <w:rPr>
          <w:rFonts w:hint="eastAsia"/>
          <w:b/>
          <w:color w:val="FF0000"/>
        </w:rPr>
        <w:t>、</w:t>
      </w:r>
      <w:r w:rsidRPr="003F2D3B">
        <w:rPr>
          <w:rFonts w:hint="eastAsia"/>
          <w:b/>
          <w:color w:val="FF0000"/>
        </w:rPr>
        <w:t xml:space="preserve">0-21ML </w:t>
      </w:r>
      <w:r w:rsidRPr="003F2D3B">
        <w:rPr>
          <w:rFonts w:hint="eastAsia"/>
          <w:b/>
          <w:color w:val="FF0000"/>
        </w:rPr>
        <w:t>、</w:t>
      </w:r>
      <w:r w:rsidRPr="003F2D3B">
        <w:rPr>
          <w:rFonts w:hint="eastAsia"/>
          <w:b/>
          <w:color w:val="FF0000"/>
        </w:rPr>
        <w:t xml:space="preserve">1-12ML </w:t>
      </w:r>
      <w:r w:rsidRPr="003F2D3B">
        <w:rPr>
          <w:rFonts w:hint="eastAsia"/>
          <w:b/>
          <w:color w:val="FF0000"/>
        </w:rPr>
        <w:t>、</w:t>
      </w:r>
      <w:r w:rsidRPr="003F2D3B">
        <w:rPr>
          <w:rFonts w:hint="eastAsia"/>
          <w:b/>
          <w:color w:val="FF0000"/>
        </w:rPr>
        <w:t xml:space="preserve"> 9-20ML </w:t>
      </w:r>
      <w:r w:rsidRPr="003F2D3B">
        <w:rPr>
          <w:rFonts w:hint="eastAsia"/>
          <w:b/>
          <w:color w:val="FF0000"/>
        </w:rPr>
        <w:t>、</w:t>
      </w:r>
      <w:r w:rsidRPr="003F2D3B">
        <w:rPr>
          <w:rFonts w:hint="eastAsia"/>
          <w:b/>
          <w:color w:val="FF0000"/>
        </w:rPr>
        <w:t xml:space="preserve">6-21ML </w:t>
      </w:r>
      <w:r w:rsidRPr="003F2D3B">
        <w:rPr>
          <w:rFonts w:hint="eastAsia"/>
          <w:b/>
          <w:color w:val="FF0000"/>
        </w:rPr>
        <w:t>、</w:t>
      </w:r>
      <w:r w:rsidRPr="003F2D3B">
        <w:rPr>
          <w:rFonts w:hint="eastAsia"/>
          <w:b/>
          <w:color w:val="FF0000"/>
        </w:rPr>
        <w:t>9ML</w:t>
      </w:r>
      <w:r w:rsidRPr="003F2D3B">
        <w:rPr>
          <w:rFonts w:hint="eastAsia"/>
          <w:b/>
          <w:color w:val="FF0000"/>
        </w:rPr>
        <w:t>等情形均视为负偏离。</w:t>
      </w:r>
    </w:p>
    <w:p w:rsidR="00FE53A0" w:rsidRPr="003F2D3B" w:rsidRDefault="00FE53A0" w:rsidP="00FE53A0">
      <w:pPr>
        <w:pStyle w:val="3"/>
        <w:spacing w:before="120" w:after="0"/>
        <w:rPr>
          <w:rFonts w:ascii="宋体" w:hAnsi="宋体" w:hint="eastAsia"/>
          <w:sz w:val="24"/>
        </w:rPr>
      </w:pPr>
      <w:bookmarkStart w:id="17" w:name="_Toc145489648"/>
      <w:bookmarkEnd w:id="15"/>
      <w:r w:rsidRPr="003F2D3B">
        <w:rPr>
          <w:rFonts w:ascii="宋体" w:hAnsi="宋体" w:hint="eastAsia"/>
          <w:sz w:val="24"/>
        </w:rPr>
        <w:t>（二）★供货范围</w:t>
      </w:r>
      <w:bookmarkEnd w:id="13"/>
      <w:bookmarkEnd w:id="14"/>
      <w:r w:rsidRPr="003F2D3B">
        <w:rPr>
          <w:rFonts w:ascii="宋体" w:hAnsi="宋体" w:hint="eastAsia"/>
          <w:sz w:val="24"/>
        </w:rPr>
        <w:t>（货物清单）</w:t>
      </w:r>
      <w:bookmarkEnd w:id="17"/>
    </w:p>
    <w:tbl>
      <w:tblPr>
        <w:tblW w:w="8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1"/>
        <w:gridCol w:w="1276"/>
        <w:gridCol w:w="2584"/>
        <w:gridCol w:w="1295"/>
      </w:tblGrid>
      <w:tr w:rsidR="00FE53A0" w:rsidRPr="003F2D3B" w:rsidTr="004E1F24">
        <w:trPr>
          <w:trHeight w:val="507"/>
        </w:trPr>
        <w:tc>
          <w:tcPr>
            <w:tcW w:w="2025" w:type="pct"/>
            <w:shd w:val="clear" w:color="auto" w:fill="C6D9F1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/>
                <w:bCs/>
                <w:kern w:val="0"/>
                <w:szCs w:val="21"/>
              </w:rPr>
              <w:t>货物名称</w:t>
            </w:r>
          </w:p>
        </w:tc>
        <w:tc>
          <w:tcPr>
            <w:tcW w:w="736" w:type="pct"/>
            <w:shd w:val="clear" w:color="auto" w:fill="C6D9F1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1491" w:type="pct"/>
            <w:shd w:val="clear" w:color="auto" w:fill="C6D9F1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/>
                <w:bCs/>
                <w:kern w:val="0"/>
                <w:szCs w:val="21"/>
              </w:rPr>
              <w:t>预算限额（人民币/万元）</w:t>
            </w:r>
          </w:p>
        </w:tc>
        <w:tc>
          <w:tcPr>
            <w:tcW w:w="747" w:type="pct"/>
            <w:shd w:val="clear" w:color="auto" w:fill="C6D9F1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FE53A0" w:rsidRPr="003F2D3B" w:rsidTr="004E1F24">
        <w:trPr>
          <w:trHeight w:val="527"/>
        </w:trPr>
        <w:tc>
          <w:tcPr>
            <w:tcW w:w="2025" w:type="pct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全自动智能染色封片系统（封染一体机）</w:t>
            </w:r>
          </w:p>
        </w:tc>
        <w:tc>
          <w:tcPr>
            <w:tcW w:w="736" w:type="pct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Cs/>
                <w:kern w:val="0"/>
                <w:szCs w:val="21"/>
              </w:rPr>
              <w:t>1项</w:t>
            </w:r>
          </w:p>
        </w:tc>
        <w:tc>
          <w:tcPr>
            <w:tcW w:w="1491" w:type="pct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Cs/>
                <w:kern w:val="0"/>
                <w:szCs w:val="21"/>
              </w:rPr>
              <w:t>人民币伍拾万元整（¥50.00万元）</w:t>
            </w:r>
          </w:p>
        </w:tc>
        <w:tc>
          <w:tcPr>
            <w:tcW w:w="747" w:type="pct"/>
            <w:vAlign w:val="center"/>
          </w:tcPr>
          <w:p w:rsidR="00FE53A0" w:rsidRPr="003F2D3B" w:rsidRDefault="00FE53A0" w:rsidP="004E1F24">
            <w:pPr>
              <w:widowControl/>
              <w:spacing w:line="400" w:lineRule="exac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3F2D3B">
              <w:rPr>
                <w:rFonts w:ascii="宋体" w:hAnsi="宋体" w:hint="eastAsia"/>
                <w:bCs/>
                <w:kern w:val="0"/>
                <w:szCs w:val="21"/>
              </w:rPr>
              <w:t>拒绝进口</w:t>
            </w:r>
          </w:p>
        </w:tc>
      </w:tr>
    </w:tbl>
    <w:p w:rsidR="00FE53A0" w:rsidRPr="003F2D3B" w:rsidRDefault="00FE53A0" w:rsidP="00FE53A0">
      <w:pPr>
        <w:spacing w:beforeLines="50"/>
        <w:ind w:leftChars="100" w:left="929" w:hangingChars="341" w:hanging="719"/>
        <w:rPr>
          <w:rFonts w:ascii="宋体" w:hAnsi="宋体" w:hint="eastAsia"/>
          <w:b/>
          <w:szCs w:val="21"/>
        </w:rPr>
      </w:pPr>
      <w:r w:rsidRPr="003F2D3B">
        <w:rPr>
          <w:rFonts w:ascii="宋体" w:hAnsi="宋体" w:hint="eastAsia"/>
          <w:b/>
          <w:szCs w:val="21"/>
        </w:rPr>
        <w:t>备注：1.备注栏注明“拒绝进口”的产品不接受投标人选用进口产品参与投标；注明“接</w:t>
      </w:r>
    </w:p>
    <w:p w:rsidR="00FE53A0" w:rsidRPr="003F2D3B" w:rsidRDefault="00FE53A0" w:rsidP="00FE53A0">
      <w:pPr>
        <w:ind w:leftChars="400" w:left="926" w:hangingChars="41" w:hanging="86"/>
        <w:rPr>
          <w:rFonts w:ascii="宋体" w:hAnsi="宋体"/>
          <w:b/>
          <w:szCs w:val="21"/>
        </w:rPr>
      </w:pPr>
      <w:r w:rsidRPr="003F2D3B">
        <w:rPr>
          <w:rFonts w:ascii="宋体" w:hAnsi="宋体" w:hint="eastAsia"/>
          <w:b/>
          <w:szCs w:val="21"/>
        </w:rPr>
        <w:t xml:space="preserve">受进口”的产品允许投标人选用进口产品参与投标，但不排斥国内产品。 </w:t>
      </w:r>
    </w:p>
    <w:p w:rsidR="00FE53A0" w:rsidRPr="003F2D3B" w:rsidRDefault="00FE53A0" w:rsidP="00FE53A0">
      <w:pPr>
        <w:ind w:leftChars="400" w:left="840"/>
        <w:rPr>
          <w:rFonts w:ascii="宋体" w:hAnsi="宋体" w:hint="eastAsia"/>
          <w:b/>
          <w:szCs w:val="21"/>
        </w:rPr>
      </w:pPr>
      <w:r w:rsidRPr="003F2D3B">
        <w:rPr>
          <w:rFonts w:ascii="宋体" w:hAnsi="宋体" w:hint="eastAsia"/>
          <w:b/>
          <w:szCs w:val="21"/>
        </w:rPr>
        <w:t>2.进口产品是指通过海关验放进入中国境内且产自关境外的产品。即所谓进口产品是指制造过程均在国外，如果产品在国内组装，其中的零部件（包括核心部件）是进口产品，则应当视为非进口产品。采用“接受进口”的产品优先采购向我国</w:t>
      </w:r>
      <w:r w:rsidRPr="003F2D3B">
        <w:rPr>
          <w:rFonts w:ascii="宋体" w:hAnsi="宋体" w:hint="eastAsia"/>
          <w:b/>
          <w:szCs w:val="21"/>
        </w:rPr>
        <w:lastRenderedPageBreak/>
        <w:t>企业转让技术、与我国企业签订消化吸收再创新方案的供应商的进口产品，相关内容以财库〔2007〕119 号文和财办库〔2008〕248 号文的相关规定为准。</w:t>
      </w:r>
    </w:p>
    <w:p w:rsidR="00FE53A0" w:rsidRPr="003F2D3B" w:rsidRDefault="00FE53A0" w:rsidP="00FE53A0">
      <w:pPr>
        <w:spacing w:beforeLines="50"/>
        <w:ind w:leftChars="400" w:left="840"/>
        <w:rPr>
          <w:rFonts w:ascii="宋体" w:hAnsi="宋体" w:hint="eastAsia"/>
          <w:b/>
          <w:szCs w:val="21"/>
        </w:rPr>
      </w:pPr>
      <w:r w:rsidRPr="003F2D3B">
        <w:rPr>
          <w:rFonts w:ascii="宋体" w:hAnsi="宋体" w:hint="eastAsia"/>
          <w:b/>
          <w:szCs w:val="21"/>
        </w:rPr>
        <w:t xml:space="preserve">3. </w:t>
      </w:r>
      <w:r w:rsidRPr="003F2D3B">
        <w:rPr>
          <w:rFonts w:ascii="宋体" w:hAnsi="宋体" w:hint="eastAsia"/>
          <w:b/>
          <w:color w:val="FF0000"/>
          <w:szCs w:val="21"/>
        </w:rPr>
        <w:t>本项目为：</w:t>
      </w:r>
      <w:r w:rsidRPr="003F2D3B">
        <w:rPr>
          <w:rFonts w:ascii="宋体" w:hAnsi="宋体" w:hint="eastAsia"/>
          <w:b/>
          <w:color w:val="FF0000"/>
          <w:szCs w:val="21"/>
          <w:u w:val="single"/>
        </w:rPr>
        <w:t>本项目为单一产品采购</w:t>
      </w:r>
    </w:p>
    <w:p w:rsidR="00FE53A0" w:rsidRPr="003F2D3B" w:rsidRDefault="00FE53A0" w:rsidP="00FE53A0">
      <w:pPr>
        <w:pStyle w:val="3"/>
        <w:spacing w:beforeLines="50" w:after="0"/>
        <w:rPr>
          <w:rFonts w:ascii="宋体" w:hAnsi="宋体" w:hint="eastAsia"/>
          <w:sz w:val="24"/>
        </w:rPr>
      </w:pPr>
      <w:bookmarkStart w:id="18" w:name="_Toc145489649"/>
      <w:r w:rsidRPr="003F2D3B">
        <w:rPr>
          <w:rFonts w:ascii="宋体" w:hAnsi="宋体" w:hint="eastAsia"/>
          <w:sz w:val="24"/>
        </w:rPr>
        <w:t>（三）主要技术要求</w:t>
      </w:r>
      <w:bookmarkEnd w:id="18"/>
    </w:p>
    <w:tbl>
      <w:tblPr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6"/>
        <w:gridCol w:w="1160"/>
        <w:gridCol w:w="6776"/>
      </w:tblGrid>
      <w:tr w:rsidR="00FE53A0" w:rsidRPr="003F2D3B" w:rsidTr="004E1F24">
        <w:trPr>
          <w:trHeight w:val="20"/>
        </w:trPr>
        <w:tc>
          <w:tcPr>
            <w:tcW w:w="72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3F2D3B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3F2D3B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F2D3B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招标技术要求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3F2D3B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0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全自动智能染色封片系统（封染一体机）</w:t>
            </w: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1</w:t>
            </w:r>
            <w:r w:rsidRPr="003F2D3B">
              <w:rPr>
                <w:rFonts w:hAnsi="宋体"/>
                <w:szCs w:val="21"/>
              </w:rPr>
              <w:t>、机器功能：全自动智能染色封片系统，染色模块与封片模块可单独使用，也可形成染封一体化的工作站，且不需要单独的转运装置，节省空间。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2</w:t>
            </w:r>
            <w:r w:rsidRPr="003F2D3B">
              <w:rPr>
                <w:rFonts w:hAnsi="宋体"/>
                <w:szCs w:val="21"/>
              </w:rPr>
              <w:t>、染色站点数量：总站点数量≥</w:t>
            </w:r>
            <w:r w:rsidRPr="003F2D3B">
              <w:rPr>
                <w:rFonts w:hAnsi="宋体"/>
                <w:szCs w:val="21"/>
              </w:rPr>
              <w:t>26</w:t>
            </w:r>
            <w:r w:rsidRPr="003F2D3B">
              <w:rPr>
                <w:rFonts w:hAnsi="宋体"/>
                <w:szCs w:val="21"/>
              </w:rPr>
              <w:t>个，其中水洗站点数≥</w:t>
            </w:r>
            <w:r w:rsidRPr="003F2D3B">
              <w:rPr>
                <w:rFonts w:hAnsi="宋体"/>
                <w:szCs w:val="21"/>
              </w:rPr>
              <w:t>4</w:t>
            </w:r>
            <w:r w:rsidRPr="003F2D3B">
              <w:rPr>
                <w:rFonts w:hAnsi="宋体"/>
                <w:szCs w:val="21"/>
              </w:rPr>
              <w:t>个，加卸载站点合计数≥</w:t>
            </w:r>
            <w:r w:rsidRPr="003F2D3B">
              <w:rPr>
                <w:rFonts w:hAnsi="宋体"/>
                <w:szCs w:val="21"/>
              </w:rPr>
              <w:t>4</w:t>
            </w:r>
            <w:r w:rsidRPr="003F2D3B">
              <w:rPr>
                <w:rFonts w:hAnsi="宋体"/>
                <w:szCs w:val="21"/>
              </w:rPr>
              <w:t>个。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3</w:t>
            </w:r>
            <w:r w:rsidRPr="003F2D3B">
              <w:rPr>
                <w:rFonts w:hAnsi="宋体"/>
                <w:szCs w:val="21"/>
              </w:rPr>
              <w:t>、染色机结构：全开放式单层设计，方便观察试剂缸液面高度及更换试剂。方便停电时采取手工染色代替机器。拒绝双层设计；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4</w:t>
            </w:r>
            <w:r w:rsidRPr="003F2D3B">
              <w:rPr>
                <w:rFonts w:hAnsi="宋体"/>
                <w:szCs w:val="21"/>
              </w:rPr>
              <w:t>、加卸载站点提醒：加卸载站点具有检测传感器，自动检测站点中的玻片架状态；具有异常打开抽屉报警和延时语音提醒功能，抽屉打开超时提醒时间</w:t>
            </w:r>
            <w:r w:rsidRPr="003F2D3B">
              <w:rPr>
                <w:rFonts w:hAnsi="宋体"/>
                <w:szCs w:val="21"/>
              </w:rPr>
              <w:t>1-120</w:t>
            </w:r>
            <w:r w:rsidRPr="003F2D3B">
              <w:rPr>
                <w:rFonts w:hAnsi="宋体"/>
                <w:szCs w:val="21"/>
              </w:rPr>
              <w:t>秒可调。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5</w:t>
            </w:r>
            <w:r w:rsidRPr="003F2D3B">
              <w:rPr>
                <w:rFonts w:hAnsi="宋体"/>
                <w:szCs w:val="21"/>
              </w:rPr>
              <w:t>、水洗站点水流大小：可调节，水洗续流时间</w:t>
            </w:r>
            <w:r w:rsidRPr="003F2D3B">
              <w:rPr>
                <w:rFonts w:hAnsi="宋体"/>
                <w:szCs w:val="21"/>
              </w:rPr>
              <w:t>0-120</w:t>
            </w:r>
            <w:r w:rsidRPr="003F2D3B">
              <w:rPr>
                <w:rFonts w:hAnsi="宋体"/>
                <w:szCs w:val="21"/>
              </w:rPr>
              <w:t>秒可设置，使当前水洗工序完成后可持续进水。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6</w:t>
            </w:r>
            <w:r w:rsidRPr="003F2D3B">
              <w:rPr>
                <w:rFonts w:hAnsi="宋体"/>
                <w:szCs w:val="21"/>
              </w:rPr>
              <w:t>、烤箱：具有烤箱，烤箱温度在室温至</w:t>
            </w:r>
            <w:r w:rsidRPr="003F2D3B">
              <w:rPr>
                <w:rFonts w:hAnsi="宋体"/>
                <w:szCs w:val="21"/>
              </w:rPr>
              <w:t>75</w:t>
            </w:r>
            <w:r w:rsidRPr="003F2D3B">
              <w:rPr>
                <w:rFonts w:hAnsi="宋体"/>
                <w:szCs w:val="21"/>
              </w:rPr>
              <w:t>℃可调，且有温度实时监测功能；烤缸数量不应超过</w:t>
            </w:r>
            <w:r w:rsidRPr="003F2D3B">
              <w:rPr>
                <w:rFonts w:hAnsi="宋体"/>
                <w:szCs w:val="21"/>
              </w:rPr>
              <w:t>2</w:t>
            </w:r>
            <w:r w:rsidRPr="003F2D3B">
              <w:rPr>
                <w:rFonts w:hAnsi="宋体"/>
                <w:szCs w:val="21"/>
              </w:rPr>
              <w:t>个，以避免烤缸对二甲苯及其他试剂的挥发影响。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7</w:t>
            </w:r>
            <w:r w:rsidRPr="003F2D3B">
              <w:rPr>
                <w:rFonts w:hAnsi="宋体"/>
                <w:szCs w:val="21"/>
              </w:rPr>
              <w:t>、试剂加热：至少具有</w:t>
            </w:r>
            <w:r w:rsidRPr="003F2D3B">
              <w:rPr>
                <w:rFonts w:hAnsi="宋体"/>
                <w:szCs w:val="21"/>
              </w:rPr>
              <w:t>4</w:t>
            </w:r>
            <w:r w:rsidRPr="003F2D3B">
              <w:rPr>
                <w:rFonts w:hAnsi="宋体"/>
                <w:szCs w:val="21"/>
              </w:rPr>
              <w:t>个试剂加热站点，温度范围室温至</w:t>
            </w:r>
            <w:r w:rsidRPr="003F2D3B">
              <w:rPr>
                <w:rFonts w:hAnsi="宋体"/>
                <w:szCs w:val="21"/>
              </w:rPr>
              <w:t>38</w:t>
            </w:r>
            <w:r w:rsidRPr="003F2D3B">
              <w:rPr>
                <w:rFonts w:hAnsi="宋体"/>
                <w:szCs w:val="21"/>
              </w:rPr>
              <w:t>℃可调。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8</w:t>
            </w:r>
            <w:r w:rsidRPr="003F2D3B">
              <w:rPr>
                <w:rFonts w:hAnsi="宋体"/>
                <w:szCs w:val="21"/>
              </w:rPr>
              <w:t>、用户交互：彩色液晶触摸屏≥</w:t>
            </w:r>
            <w:r w:rsidRPr="003F2D3B">
              <w:rPr>
                <w:rFonts w:hAnsi="宋体"/>
                <w:szCs w:val="21"/>
              </w:rPr>
              <w:t>10</w:t>
            </w:r>
            <w:r w:rsidRPr="003F2D3B">
              <w:rPr>
                <w:rFonts w:hAnsi="宋体"/>
                <w:szCs w:val="21"/>
              </w:rPr>
              <w:t>英寸，全中文系统触屏显示操作，主界面上可设置染色快捷程序，数量≥</w:t>
            </w:r>
            <w:r w:rsidRPr="003F2D3B">
              <w:rPr>
                <w:rFonts w:hAnsi="宋体"/>
                <w:szCs w:val="21"/>
              </w:rPr>
              <w:t>4</w:t>
            </w:r>
            <w:r w:rsidRPr="003F2D3B">
              <w:rPr>
                <w:rFonts w:hAnsi="宋体"/>
                <w:szCs w:val="21"/>
              </w:rPr>
              <w:t>个，操作更简单直观，拒绝物理按键式的操作。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9</w:t>
            </w:r>
            <w:r w:rsidRPr="003F2D3B">
              <w:rPr>
                <w:rFonts w:hAnsi="宋体"/>
                <w:szCs w:val="21"/>
              </w:rPr>
              <w:t>、程序编辑：设备可存储程序≥</w:t>
            </w:r>
            <w:r w:rsidRPr="003F2D3B">
              <w:rPr>
                <w:rFonts w:hAnsi="宋体"/>
                <w:szCs w:val="21"/>
              </w:rPr>
              <w:t>100</w:t>
            </w:r>
            <w:r w:rsidRPr="003F2D3B">
              <w:rPr>
                <w:rFonts w:hAnsi="宋体"/>
                <w:szCs w:val="21"/>
              </w:rPr>
              <w:t>个，且每个程序可以设置步骤≥</w:t>
            </w:r>
            <w:r w:rsidRPr="003F2D3B">
              <w:rPr>
                <w:rFonts w:hAnsi="宋体"/>
                <w:szCs w:val="21"/>
              </w:rPr>
              <w:t>40</w:t>
            </w:r>
            <w:r w:rsidRPr="003F2D3B">
              <w:rPr>
                <w:rFonts w:hAnsi="宋体"/>
                <w:szCs w:val="21"/>
              </w:rPr>
              <w:t>个；每个步骤可设置时间为</w:t>
            </w:r>
            <w:r w:rsidRPr="003F2D3B">
              <w:rPr>
                <w:rFonts w:hAnsi="宋体"/>
                <w:szCs w:val="21"/>
              </w:rPr>
              <w:t>1</w:t>
            </w:r>
            <w:r w:rsidRPr="003F2D3B">
              <w:rPr>
                <w:rFonts w:hAnsi="宋体"/>
                <w:szCs w:val="21"/>
              </w:rPr>
              <w:t>秒</w:t>
            </w:r>
            <w:r w:rsidRPr="003F2D3B">
              <w:rPr>
                <w:rFonts w:hAnsi="宋体"/>
                <w:szCs w:val="21"/>
              </w:rPr>
              <w:t>- 23</w:t>
            </w:r>
            <w:r w:rsidRPr="003F2D3B">
              <w:rPr>
                <w:rFonts w:hAnsi="宋体"/>
                <w:szCs w:val="21"/>
              </w:rPr>
              <w:t>时</w:t>
            </w:r>
            <w:r w:rsidRPr="003F2D3B">
              <w:rPr>
                <w:rFonts w:hAnsi="宋体"/>
                <w:szCs w:val="21"/>
              </w:rPr>
              <w:t>59</w:t>
            </w:r>
            <w:r w:rsidRPr="003F2D3B">
              <w:rPr>
                <w:rFonts w:hAnsi="宋体"/>
                <w:szCs w:val="21"/>
              </w:rPr>
              <w:t>分</w:t>
            </w:r>
            <w:r w:rsidRPr="003F2D3B">
              <w:rPr>
                <w:rFonts w:hAnsi="宋体"/>
                <w:szCs w:val="21"/>
              </w:rPr>
              <w:t>59</w:t>
            </w:r>
            <w:r w:rsidRPr="003F2D3B">
              <w:rPr>
                <w:rFonts w:hAnsi="宋体"/>
                <w:szCs w:val="21"/>
              </w:rPr>
              <w:t>秒。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10</w:t>
            </w:r>
            <w:r w:rsidRPr="003F2D3B">
              <w:rPr>
                <w:rFonts w:hAnsi="宋体"/>
                <w:szCs w:val="21"/>
              </w:rPr>
              <w:t>、试剂缸容量：试剂缸容量</w:t>
            </w:r>
            <w:r w:rsidRPr="003F2D3B">
              <w:rPr>
                <w:rFonts w:hAnsi="宋体"/>
                <w:szCs w:val="21"/>
              </w:rPr>
              <w:t>480</w:t>
            </w:r>
            <w:r w:rsidRPr="003F2D3B">
              <w:rPr>
                <w:rFonts w:hAnsi="宋体"/>
                <w:szCs w:val="21"/>
              </w:rPr>
              <w:t>±</w:t>
            </w:r>
            <w:r w:rsidRPr="003F2D3B">
              <w:rPr>
                <w:rFonts w:hAnsi="宋体"/>
                <w:szCs w:val="21"/>
              </w:rPr>
              <w:t>20ml</w:t>
            </w:r>
            <w:r w:rsidRPr="003F2D3B">
              <w:rPr>
                <w:rFonts w:hAnsi="宋体"/>
                <w:szCs w:val="21"/>
              </w:rPr>
              <w:t>，试剂缸容量不应超过</w:t>
            </w:r>
            <w:r w:rsidRPr="003F2D3B">
              <w:rPr>
                <w:rFonts w:hAnsi="宋体"/>
                <w:szCs w:val="21"/>
              </w:rPr>
              <w:t>500ml</w:t>
            </w:r>
            <w:r w:rsidRPr="003F2D3B">
              <w:rPr>
                <w:rFonts w:hAnsi="宋体"/>
                <w:szCs w:val="21"/>
              </w:rPr>
              <w:t>，避免试剂缸过大造成试剂挥发浪费；单个玻片架容量≥</w:t>
            </w:r>
            <w:r w:rsidRPr="003F2D3B">
              <w:rPr>
                <w:rFonts w:hAnsi="宋体"/>
                <w:szCs w:val="21"/>
              </w:rPr>
              <w:t>30</w:t>
            </w:r>
            <w:r w:rsidRPr="003F2D3B">
              <w:rPr>
                <w:rFonts w:hAnsi="宋体"/>
                <w:szCs w:val="21"/>
              </w:rPr>
              <w:t>片</w:t>
            </w:r>
            <w:r w:rsidRPr="003F2D3B">
              <w:rPr>
                <w:rFonts w:hAnsi="宋体"/>
                <w:szCs w:val="21"/>
              </w:rPr>
              <w:t>/</w:t>
            </w:r>
            <w:r w:rsidRPr="003F2D3B">
              <w:rPr>
                <w:rFonts w:hAnsi="宋体"/>
                <w:szCs w:val="21"/>
              </w:rPr>
              <w:t>架。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11</w:t>
            </w:r>
            <w:r w:rsidRPr="003F2D3B">
              <w:rPr>
                <w:rFonts w:hAnsi="宋体"/>
                <w:szCs w:val="21"/>
              </w:rPr>
              <w:t>、可同时运行程序数：可以单独或同时进行巴氏、常规</w:t>
            </w:r>
            <w:r w:rsidRPr="003F2D3B">
              <w:rPr>
                <w:rFonts w:hAnsi="宋体"/>
                <w:szCs w:val="21"/>
              </w:rPr>
              <w:t>HE</w:t>
            </w:r>
            <w:r w:rsidRPr="003F2D3B">
              <w:rPr>
                <w:rFonts w:hAnsi="宋体"/>
                <w:szCs w:val="21"/>
              </w:rPr>
              <w:t>、冰冻</w:t>
            </w:r>
            <w:r w:rsidRPr="003F2D3B">
              <w:rPr>
                <w:rFonts w:hAnsi="宋体"/>
                <w:szCs w:val="21"/>
              </w:rPr>
              <w:t>HE</w:t>
            </w:r>
            <w:r w:rsidRPr="003F2D3B">
              <w:rPr>
                <w:rFonts w:hAnsi="宋体"/>
                <w:szCs w:val="21"/>
              </w:rPr>
              <w:t>染色等多种染色程序，最高可同时运行不同程序数≥</w:t>
            </w:r>
            <w:r w:rsidRPr="003F2D3B">
              <w:rPr>
                <w:rFonts w:hAnsi="宋体"/>
                <w:szCs w:val="21"/>
              </w:rPr>
              <w:t>11</w:t>
            </w:r>
            <w:r w:rsidRPr="003F2D3B">
              <w:rPr>
                <w:rFonts w:hAnsi="宋体"/>
                <w:szCs w:val="21"/>
              </w:rPr>
              <w:t>个，每小时染片量≥</w:t>
            </w:r>
            <w:r w:rsidRPr="003F2D3B">
              <w:rPr>
                <w:rFonts w:hAnsi="宋体"/>
                <w:szCs w:val="21"/>
              </w:rPr>
              <w:t>300</w:t>
            </w:r>
            <w:r w:rsidRPr="003F2D3B">
              <w:rPr>
                <w:rFonts w:hAnsi="宋体"/>
                <w:szCs w:val="21"/>
              </w:rPr>
              <w:t>张。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12</w:t>
            </w:r>
            <w:r w:rsidRPr="003F2D3B">
              <w:rPr>
                <w:rFonts w:hAnsi="宋体"/>
                <w:szCs w:val="21"/>
              </w:rPr>
              <w:t>、染色质控功能：包括质控设置总览、历史运行程序、试剂使用明细等，并可生成和导出质控报表；可用绿色、黄色和红色等</w:t>
            </w:r>
            <w:r w:rsidRPr="003F2D3B">
              <w:rPr>
                <w:rFonts w:hAnsi="宋体"/>
                <w:szCs w:val="21"/>
              </w:rPr>
              <w:t>3</w:t>
            </w:r>
            <w:r w:rsidRPr="003F2D3B">
              <w:rPr>
                <w:rFonts w:hAnsi="宋体"/>
                <w:szCs w:val="21"/>
              </w:rPr>
              <w:t>种不同颜色标识，进行试剂更换提醒。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13</w:t>
            </w:r>
            <w:r w:rsidRPr="003F2D3B">
              <w:rPr>
                <w:rFonts w:hAnsi="宋体"/>
                <w:szCs w:val="21"/>
              </w:rPr>
              <w:t>、远程监控功能：具有远程报警、监控功能，可通过网页、微信小程序、</w:t>
            </w:r>
            <w:r w:rsidRPr="003F2D3B">
              <w:rPr>
                <w:rFonts w:hAnsi="宋体"/>
                <w:szCs w:val="21"/>
              </w:rPr>
              <w:t>APP</w:t>
            </w:r>
            <w:r w:rsidRPr="003F2D3B">
              <w:rPr>
                <w:rFonts w:hAnsi="宋体"/>
                <w:szCs w:val="21"/>
              </w:rPr>
              <w:t>三种方式进行监控，实时了解设备运行状态，并以短信、邮件、微信等</w:t>
            </w:r>
            <w:r w:rsidRPr="003F2D3B">
              <w:rPr>
                <w:rFonts w:hAnsi="宋体"/>
                <w:szCs w:val="21"/>
              </w:rPr>
              <w:t>3</w:t>
            </w:r>
            <w:r w:rsidRPr="003F2D3B">
              <w:rPr>
                <w:rFonts w:hAnsi="宋体"/>
                <w:szCs w:val="21"/>
              </w:rPr>
              <w:t>种以上方式推送报警信息和维修指引。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14</w:t>
            </w:r>
            <w:r w:rsidRPr="003F2D3B">
              <w:rPr>
                <w:rFonts w:hAnsi="宋体"/>
                <w:szCs w:val="21"/>
              </w:rPr>
              <w:t>、软件升级功能：配置</w:t>
            </w:r>
            <w:r w:rsidRPr="003F2D3B">
              <w:rPr>
                <w:rFonts w:hAnsi="宋体"/>
                <w:szCs w:val="21"/>
              </w:rPr>
              <w:t>USB</w:t>
            </w:r>
            <w:r w:rsidRPr="003F2D3B">
              <w:rPr>
                <w:rFonts w:hAnsi="宋体"/>
                <w:szCs w:val="21"/>
              </w:rPr>
              <w:t>接口≥</w:t>
            </w:r>
            <w:r w:rsidRPr="003F2D3B">
              <w:rPr>
                <w:rFonts w:hAnsi="宋体"/>
                <w:szCs w:val="21"/>
              </w:rPr>
              <w:t>2</w:t>
            </w:r>
            <w:r w:rsidRPr="003F2D3B">
              <w:rPr>
                <w:rFonts w:hAnsi="宋体"/>
                <w:szCs w:val="21"/>
              </w:rPr>
              <w:t>个，可导出</w:t>
            </w:r>
            <w:r w:rsidRPr="003F2D3B">
              <w:rPr>
                <w:rFonts w:hAnsi="宋体"/>
                <w:szCs w:val="21"/>
              </w:rPr>
              <w:t>Excel</w:t>
            </w:r>
            <w:r w:rsidRPr="003F2D3B">
              <w:rPr>
                <w:rFonts w:hAnsi="宋体"/>
                <w:szCs w:val="21"/>
              </w:rPr>
              <w:t>和</w:t>
            </w:r>
            <w:r w:rsidRPr="003F2D3B">
              <w:rPr>
                <w:rFonts w:hAnsi="宋体"/>
                <w:szCs w:val="21"/>
              </w:rPr>
              <w:t>PDF</w:t>
            </w:r>
            <w:r w:rsidRPr="003F2D3B">
              <w:rPr>
                <w:rFonts w:hAnsi="宋体"/>
                <w:szCs w:val="21"/>
              </w:rPr>
              <w:t>格式的质控数据表且可以进行设备升级操作。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15</w:t>
            </w:r>
            <w:r w:rsidRPr="003F2D3B">
              <w:rPr>
                <w:rFonts w:hAnsi="宋体"/>
                <w:szCs w:val="21"/>
              </w:rPr>
              <w:t>、程序微调节：程序可进行精确或非精确设置；精确设置的步骤，机械臂优先处理，完全保证该步骤浸染时间的精确。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16</w:t>
            </w:r>
            <w:r w:rsidRPr="003F2D3B">
              <w:rPr>
                <w:rFonts w:hAnsi="宋体"/>
                <w:szCs w:val="21"/>
              </w:rPr>
              <w:t>、染色时间自调节功能（</w:t>
            </w:r>
            <w:r w:rsidRPr="003F2D3B">
              <w:rPr>
                <w:rFonts w:hAnsi="宋体"/>
                <w:szCs w:val="21"/>
              </w:rPr>
              <w:t>AAT</w:t>
            </w:r>
            <w:r w:rsidRPr="003F2D3B">
              <w:rPr>
                <w:rFonts w:hAnsi="宋体"/>
                <w:szCs w:val="21"/>
              </w:rPr>
              <w:t>技术）：可根据染液浸染天数或架数进行设置，自动调整染色时间。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17</w:t>
            </w:r>
            <w:r w:rsidRPr="003F2D3B">
              <w:rPr>
                <w:rFonts w:hAnsi="宋体"/>
                <w:szCs w:val="21"/>
              </w:rPr>
              <w:t>、废气浓度监测：具有浓度监测传感器，浓度监测范围</w:t>
            </w:r>
            <w:r w:rsidRPr="003F2D3B">
              <w:rPr>
                <w:rFonts w:hAnsi="宋体"/>
                <w:szCs w:val="21"/>
              </w:rPr>
              <w:t>0-100ppm</w:t>
            </w:r>
            <w:r w:rsidRPr="003F2D3B">
              <w:rPr>
                <w:rFonts w:hAnsi="宋体"/>
                <w:szCs w:val="21"/>
              </w:rPr>
              <w:t>可设置，主界面上可实时显示废气浓度值。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18</w:t>
            </w:r>
            <w:r w:rsidRPr="003F2D3B">
              <w:rPr>
                <w:rFonts w:hAnsi="宋体"/>
                <w:szCs w:val="21"/>
              </w:rPr>
              <w:t>、防护机制：设备运行时具有自动防护功能，打开防护罩后机械臂自动停止运行，关闭后机械臂自动恢复运行，避免操作人员碰撞受伤的风险。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19</w:t>
            </w:r>
            <w:r w:rsidRPr="003F2D3B">
              <w:rPr>
                <w:rFonts w:hAnsi="宋体"/>
                <w:szCs w:val="21"/>
              </w:rPr>
              <w:t>、三重声光报警系统：中文人工语音报警系统，控制面板同步灯光提示，灯光颜色≥三种，主界面同步文字显示解决指引。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20</w:t>
            </w:r>
            <w:r w:rsidRPr="003F2D3B">
              <w:rPr>
                <w:rFonts w:hAnsi="宋体"/>
                <w:szCs w:val="21"/>
              </w:rPr>
              <w:t>、玻片规格：载玻片尺寸</w:t>
            </w:r>
            <w:r w:rsidRPr="003F2D3B">
              <w:rPr>
                <w:rFonts w:hAnsi="宋体"/>
                <w:szCs w:val="21"/>
              </w:rPr>
              <w:t>:25x75mm</w:t>
            </w:r>
            <w:r w:rsidRPr="003F2D3B">
              <w:rPr>
                <w:rFonts w:hAnsi="宋体"/>
                <w:szCs w:val="21"/>
              </w:rPr>
              <w:t>；盖片尺寸：</w:t>
            </w:r>
            <w:r w:rsidRPr="003F2D3B">
              <w:rPr>
                <w:rFonts w:hAnsi="宋体"/>
                <w:szCs w:val="21"/>
              </w:rPr>
              <w:t>24x50mm</w:t>
            </w:r>
            <w:r w:rsidRPr="003F2D3B">
              <w:rPr>
                <w:rFonts w:hAnsi="宋体"/>
                <w:szCs w:val="21"/>
              </w:rPr>
              <w:t>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21</w:t>
            </w:r>
            <w:r w:rsidRPr="003F2D3B">
              <w:rPr>
                <w:rFonts w:hAnsi="宋体"/>
                <w:szCs w:val="21"/>
              </w:rPr>
              <w:t>、最大输出存储容量：不少于</w:t>
            </w:r>
            <w:r w:rsidRPr="003F2D3B">
              <w:rPr>
                <w:rFonts w:hAnsi="宋体"/>
                <w:szCs w:val="21"/>
              </w:rPr>
              <w:t>90</w:t>
            </w:r>
            <w:r w:rsidRPr="003F2D3B">
              <w:rPr>
                <w:rFonts w:hAnsi="宋体"/>
                <w:szCs w:val="21"/>
              </w:rPr>
              <w:t>片。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22</w:t>
            </w:r>
            <w:r w:rsidRPr="003F2D3B">
              <w:rPr>
                <w:rFonts w:hAnsi="宋体"/>
                <w:szCs w:val="21"/>
              </w:rPr>
              <w:t>、盖玻片装载：盖玻片装载采用金属装载盒，可自由拔出装载盒，方便添加盖玻片，盖玻片单次上载量：≥</w:t>
            </w:r>
            <w:r w:rsidRPr="003F2D3B">
              <w:rPr>
                <w:rFonts w:hAnsi="宋体"/>
                <w:szCs w:val="21"/>
              </w:rPr>
              <w:t>200</w:t>
            </w:r>
            <w:r w:rsidRPr="003F2D3B">
              <w:rPr>
                <w:rFonts w:hAnsi="宋体"/>
                <w:szCs w:val="21"/>
              </w:rPr>
              <w:t>片。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23</w:t>
            </w:r>
            <w:r w:rsidRPr="003F2D3B">
              <w:rPr>
                <w:rFonts w:hAnsi="宋体"/>
                <w:szCs w:val="21"/>
              </w:rPr>
              <w:t>、盖玻片数量提示：智能实时检测盖玻片剩余数量，并通过语音进行报警提醒。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24</w:t>
            </w:r>
            <w:r w:rsidRPr="003F2D3B">
              <w:rPr>
                <w:rFonts w:hAnsi="宋体"/>
                <w:szCs w:val="21"/>
              </w:rPr>
              <w:t>、封片速度：每小时封片量≥</w:t>
            </w:r>
            <w:r w:rsidRPr="003F2D3B">
              <w:rPr>
                <w:rFonts w:hAnsi="宋体"/>
                <w:szCs w:val="21"/>
              </w:rPr>
              <w:t>500</w:t>
            </w:r>
            <w:r w:rsidRPr="003F2D3B">
              <w:rPr>
                <w:rFonts w:hAnsi="宋体"/>
                <w:szCs w:val="21"/>
              </w:rPr>
              <w:t>片，每片耗时不超过</w:t>
            </w:r>
            <w:r w:rsidRPr="003F2D3B">
              <w:rPr>
                <w:rFonts w:hAnsi="宋体"/>
                <w:szCs w:val="21"/>
              </w:rPr>
              <w:t>7</w:t>
            </w:r>
            <w:r w:rsidRPr="003F2D3B">
              <w:rPr>
                <w:rFonts w:hAnsi="宋体"/>
                <w:szCs w:val="21"/>
              </w:rPr>
              <w:t>秒。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25</w:t>
            </w:r>
            <w:r w:rsidRPr="003F2D3B">
              <w:rPr>
                <w:rFonts w:hAnsi="宋体"/>
                <w:szCs w:val="21"/>
              </w:rPr>
              <w:t>、输出存储方式：直接从封片机上以读片板的形式存储已完成封片的载玻片，以便直接阅片，无需人工转运，节省人力，提高科室工作效率；拒绝封片完成放回原玻片架，避免卡片导致的仪器故障和样本损坏。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26</w:t>
            </w:r>
            <w:r w:rsidRPr="003F2D3B">
              <w:rPr>
                <w:rFonts w:hAnsi="宋体"/>
                <w:szCs w:val="21"/>
              </w:rPr>
              <w:t>、出胶系统：非压力型点胶系统，精准定位，防止溢胶，点胶容量：</w:t>
            </w:r>
            <w:r w:rsidRPr="003F2D3B">
              <w:rPr>
                <w:rFonts w:hAnsi="宋体"/>
                <w:szCs w:val="21"/>
              </w:rPr>
              <w:t>0~200uL</w:t>
            </w:r>
            <w:r w:rsidRPr="003F2D3B">
              <w:rPr>
                <w:rFonts w:hAnsi="宋体"/>
                <w:szCs w:val="21"/>
              </w:rPr>
              <w:t>可调（无档位）；杜绝气泵真空压力出胶方式，避免因胶瓶密封不好导致的出胶异常问题；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27</w:t>
            </w:r>
            <w:r w:rsidRPr="003F2D3B">
              <w:rPr>
                <w:rFonts w:hAnsi="宋体"/>
                <w:szCs w:val="21"/>
              </w:rPr>
              <w:t>、针头自动浸泡：封片完成后，出胶针头自动浸泡在二甲苯浸泡槽中，且浸泡槽中二甲苯可实现自动灌注和排放；出胶管路自动清洗，防止堵管。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28</w:t>
            </w:r>
            <w:r w:rsidRPr="003F2D3B">
              <w:rPr>
                <w:rFonts w:hAnsi="宋体"/>
                <w:szCs w:val="21"/>
              </w:rPr>
              <w:t>、针头自动排胶：封片机开机后自动排出管路中残胶，并收集到废液盒中，确保出胶稳定，避免溢胶现象；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29</w:t>
            </w:r>
            <w:r w:rsidRPr="003F2D3B">
              <w:rPr>
                <w:rFonts w:hAnsi="宋体"/>
                <w:szCs w:val="21"/>
              </w:rPr>
              <w:t>、破损玻片自检：采用光学精密检测传感器，对破损盖玻片进行自检，并自动处理碎片至碎片收集板中。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30</w:t>
            </w:r>
            <w:r w:rsidRPr="003F2D3B">
              <w:rPr>
                <w:rFonts w:hAnsi="宋体"/>
                <w:szCs w:val="21"/>
              </w:rPr>
              <w:t>、圆盘传动模式：四位一体圆盘式封片，结构传输更稳定，在多机械臂协同工作下，可实现玻片夹取、滴胶、盖片、推送等动作同时进行；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rPr>
                <w:rFonts w:hAnsi="宋体"/>
                <w:szCs w:val="21"/>
              </w:rPr>
            </w:pPr>
            <w:r w:rsidRPr="003F2D3B">
              <w:rPr>
                <w:rFonts w:hAnsi="宋体"/>
                <w:szCs w:val="21"/>
              </w:rPr>
              <w:t>▲</w:t>
            </w:r>
            <w:r w:rsidRPr="003F2D3B">
              <w:rPr>
                <w:rFonts w:hAnsi="宋体"/>
                <w:szCs w:val="21"/>
              </w:rPr>
              <w:t>31</w:t>
            </w:r>
            <w:r w:rsidRPr="003F2D3B">
              <w:rPr>
                <w:rFonts w:hAnsi="宋体"/>
                <w:szCs w:val="21"/>
              </w:rPr>
              <w:t>、单片质控追溯系统：自动拍照扫描玻片二维码，可对单张玻片样本所经的染色程序、染液的批次、封片过程等多个维度进行查询，方便追溯查证，实现染色封片环节的全流程质控；</w:t>
            </w:r>
          </w:p>
        </w:tc>
      </w:tr>
      <w:tr w:rsidR="00FE53A0" w:rsidRPr="003F2D3B" w:rsidTr="004E1F24">
        <w:trPr>
          <w:trHeight w:val="20"/>
        </w:trPr>
        <w:tc>
          <w:tcPr>
            <w:tcW w:w="72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0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7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rPr>
                <w:rFonts w:hAnsi="宋体" w:hint="eastAsia"/>
                <w:szCs w:val="21"/>
              </w:rPr>
            </w:pPr>
            <w:r w:rsidRPr="003F2D3B">
              <w:rPr>
                <w:rFonts w:ascii="宋体" w:hAnsi="宋体" w:hint="eastAsia"/>
                <w:sz w:val="24"/>
              </w:rPr>
              <w:t>★</w:t>
            </w:r>
            <w:r w:rsidRPr="003F2D3B">
              <w:rPr>
                <w:rFonts w:hAnsi="宋体" w:hint="eastAsia"/>
                <w:szCs w:val="21"/>
              </w:rPr>
              <w:t>详细配置清单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染色模块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台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2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水洗缸</w:t>
            </w:r>
            <w:r w:rsidRPr="003F2D3B">
              <w:rPr>
                <w:rFonts w:hAnsi="宋体" w:hint="eastAsia"/>
                <w:szCs w:val="21"/>
              </w:rPr>
              <w:tab/>
              <w:t>4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3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试剂缸</w:t>
            </w:r>
            <w:r w:rsidRPr="003F2D3B">
              <w:rPr>
                <w:rFonts w:hAnsi="宋体" w:hint="eastAsia"/>
                <w:szCs w:val="21"/>
              </w:rPr>
              <w:tab/>
              <w:t>24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4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中转缸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5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玻片架</w:t>
            </w:r>
            <w:r w:rsidRPr="003F2D3B">
              <w:rPr>
                <w:rFonts w:hAnsi="宋体" w:hint="eastAsia"/>
                <w:szCs w:val="21"/>
              </w:rPr>
              <w:tab/>
              <w:t>10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6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试剂缸盖</w:t>
            </w:r>
            <w:r w:rsidRPr="003F2D3B">
              <w:rPr>
                <w:rFonts w:hAnsi="宋体" w:hint="eastAsia"/>
                <w:szCs w:val="21"/>
              </w:rPr>
              <w:tab/>
              <w:t>24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7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通风管组建（含管箍）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套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8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进水管组件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涛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9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弹簧钢丝管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条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10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触控笔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套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过滤器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套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12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封片模块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台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13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通风管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条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14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盖玻片盒</w:t>
            </w:r>
            <w:r w:rsidRPr="003F2D3B">
              <w:rPr>
                <w:rFonts w:hAnsi="宋体" w:hint="eastAsia"/>
                <w:szCs w:val="21"/>
              </w:rPr>
              <w:tab/>
              <w:t>2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15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碎片收集盒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16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废液瓶组件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17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封固剂瓶组件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18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清洗瓶组件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19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托盘</w:t>
            </w:r>
            <w:r w:rsidRPr="003F2D3B">
              <w:rPr>
                <w:rFonts w:hAnsi="宋体" w:hint="eastAsia"/>
                <w:szCs w:val="21"/>
              </w:rPr>
              <w:tab/>
              <w:t>27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20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装载盒</w:t>
            </w:r>
            <w:r w:rsidRPr="003F2D3B">
              <w:rPr>
                <w:rFonts w:hAnsi="宋体" w:hint="eastAsia"/>
                <w:szCs w:val="21"/>
              </w:rPr>
              <w:tab/>
              <w:t>1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个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 w:hint="eastAsia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21</w:t>
            </w:r>
            <w:r w:rsidRPr="003F2D3B">
              <w:rPr>
                <w:rFonts w:hAnsi="宋体" w:hint="eastAsia"/>
                <w:szCs w:val="21"/>
              </w:rPr>
              <w:tab/>
              <w:t>24*50</w:t>
            </w:r>
            <w:r w:rsidRPr="003F2D3B">
              <w:rPr>
                <w:rFonts w:hAnsi="宋体" w:hint="eastAsia"/>
                <w:szCs w:val="21"/>
              </w:rPr>
              <w:t>盖玻片</w:t>
            </w:r>
            <w:r w:rsidRPr="003F2D3B">
              <w:rPr>
                <w:rFonts w:hAnsi="宋体" w:hint="eastAsia"/>
                <w:szCs w:val="21"/>
              </w:rPr>
              <w:tab/>
              <w:t>10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盒</w:t>
            </w:r>
          </w:p>
          <w:p w:rsidR="00FE53A0" w:rsidRPr="003F2D3B" w:rsidRDefault="00FE53A0" w:rsidP="004E1F24">
            <w:pPr>
              <w:tabs>
                <w:tab w:val="left" w:pos="1080"/>
              </w:tabs>
              <w:spacing w:line="360" w:lineRule="auto"/>
              <w:ind w:firstLineChars="200" w:firstLine="420"/>
              <w:rPr>
                <w:rFonts w:hAnsi="宋体"/>
                <w:szCs w:val="21"/>
              </w:rPr>
            </w:pPr>
            <w:r w:rsidRPr="003F2D3B">
              <w:rPr>
                <w:rFonts w:hAnsi="宋体" w:hint="eastAsia"/>
                <w:szCs w:val="21"/>
              </w:rPr>
              <w:t>22</w:t>
            </w:r>
            <w:r w:rsidRPr="003F2D3B">
              <w:rPr>
                <w:rFonts w:hAnsi="宋体" w:hint="eastAsia"/>
                <w:szCs w:val="21"/>
              </w:rPr>
              <w:tab/>
              <w:t>25*75</w:t>
            </w:r>
            <w:r w:rsidRPr="003F2D3B">
              <w:rPr>
                <w:rFonts w:hAnsi="宋体" w:hint="eastAsia"/>
                <w:szCs w:val="21"/>
              </w:rPr>
              <w:t>载玻片</w:t>
            </w:r>
            <w:r w:rsidRPr="003F2D3B">
              <w:rPr>
                <w:rFonts w:hAnsi="宋体" w:hint="eastAsia"/>
                <w:szCs w:val="21"/>
              </w:rPr>
              <w:tab/>
              <w:t>5</w:t>
            </w:r>
            <w:r w:rsidRPr="003F2D3B">
              <w:rPr>
                <w:rFonts w:hAnsi="宋体" w:hint="eastAsia"/>
                <w:szCs w:val="21"/>
              </w:rPr>
              <w:tab/>
            </w:r>
            <w:r w:rsidRPr="003F2D3B">
              <w:rPr>
                <w:rFonts w:hAnsi="宋体" w:hint="eastAsia"/>
                <w:szCs w:val="21"/>
              </w:rPr>
              <w:t>盒</w:t>
            </w:r>
          </w:p>
        </w:tc>
      </w:tr>
    </w:tbl>
    <w:p w:rsidR="00FE53A0" w:rsidRPr="003F2D3B" w:rsidRDefault="00FE53A0" w:rsidP="00FE53A0">
      <w:pPr>
        <w:spacing w:line="400" w:lineRule="exact"/>
        <w:rPr>
          <w:rFonts w:ascii="仿宋_GB2312" w:eastAsia="仿宋_GB2312"/>
          <w:b/>
          <w:sz w:val="24"/>
        </w:rPr>
      </w:pPr>
      <w:r w:rsidRPr="003F2D3B">
        <w:rPr>
          <w:rFonts w:ascii="仿宋_GB2312" w:eastAsia="仿宋_GB2312" w:hint="eastAsia"/>
          <w:b/>
          <w:sz w:val="24"/>
        </w:rPr>
        <w:t>注意事项：</w:t>
      </w:r>
    </w:p>
    <w:p w:rsidR="00FE53A0" w:rsidRPr="003F2D3B" w:rsidRDefault="00FE53A0" w:rsidP="00FE53A0">
      <w:pPr>
        <w:ind w:leftChars="134" w:left="281" w:firstLineChars="200" w:firstLine="482"/>
        <w:rPr>
          <w:rFonts w:ascii="仿宋_GB2312" w:eastAsia="仿宋_GB2312"/>
          <w:b/>
          <w:sz w:val="24"/>
        </w:rPr>
      </w:pPr>
      <w:r w:rsidRPr="003F2D3B">
        <w:rPr>
          <w:rFonts w:ascii="仿宋_GB2312" w:eastAsia="仿宋_GB2312" w:hint="eastAsia"/>
          <w:b/>
          <w:sz w:val="24"/>
        </w:rPr>
        <w:t>1、招标人提供的</w:t>
      </w:r>
      <w:r w:rsidRPr="003F2D3B">
        <w:rPr>
          <w:rFonts w:ascii="仿宋_GB2312" w:eastAsia="仿宋_GB2312" w:hAnsi="宋体" w:hint="eastAsia"/>
          <w:b/>
          <w:sz w:val="24"/>
        </w:rPr>
        <w:t>清单中材料所涉及品牌或型号（如有），</w:t>
      </w:r>
      <w:r w:rsidRPr="003F2D3B">
        <w:rPr>
          <w:rFonts w:ascii="仿宋_GB2312" w:eastAsia="仿宋_GB2312" w:hint="eastAsia"/>
          <w:b/>
          <w:sz w:val="24"/>
        </w:rPr>
        <w:t>仅供投标人参考。投标人在投标时可以选用其它品牌，但所选用的品牌产品要在实质上相当于或不低于</w:t>
      </w:r>
      <w:r w:rsidRPr="003F2D3B">
        <w:rPr>
          <w:rFonts w:ascii="仿宋_GB2312" w:eastAsia="仿宋_GB2312" w:hAnsi="宋体" w:hint="eastAsia"/>
          <w:b/>
          <w:sz w:val="24"/>
        </w:rPr>
        <w:t>参照品牌</w:t>
      </w:r>
      <w:r w:rsidRPr="003F2D3B">
        <w:rPr>
          <w:rFonts w:ascii="仿宋_GB2312" w:eastAsia="仿宋_GB2312" w:hint="eastAsia"/>
          <w:b/>
          <w:sz w:val="24"/>
        </w:rPr>
        <w:t>技术性能的要求，并且使采购人满意。</w:t>
      </w:r>
    </w:p>
    <w:p w:rsidR="00FE53A0" w:rsidRPr="003F2D3B" w:rsidRDefault="00FE53A0" w:rsidP="00FE53A0">
      <w:pPr>
        <w:ind w:leftChars="134" w:left="281" w:firstLineChars="200" w:firstLine="482"/>
        <w:rPr>
          <w:rFonts w:ascii="仿宋_GB2312" w:eastAsia="仿宋_GB2312" w:hAnsi="宋体"/>
          <w:b/>
          <w:sz w:val="24"/>
        </w:rPr>
      </w:pPr>
      <w:r w:rsidRPr="003F2D3B">
        <w:rPr>
          <w:rFonts w:ascii="仿宋_GB2312" w:eastAsia="仿宋_GB2312" w:hint="eastAsia"/>
          <w:b/>
          <w:sz w:val="24"/>
        </w:rPr>
        <w:t>2、</w:t>
      </w:r>
      <w:r w:rsidRPr="003F2D3B">
        <w:rPr>
          <w:rFonts w:ascii="仿宋_GB2312" w:eastAsia="仿宋_GB2312" w:hAnsi="宋体" w:hint="eastAsia"/>
          <w:b/>
          <w:sz w:val="24"/>
        </w:rPr>
        <w:t>提供相同品牌产品且通过资格审查、符合性审查的不同投标人参加同一合同项下投标的，按一家投标人计算，评审后得分最高的同品牌投标人获得中标人推荐资格;评审得分相同的，以投标报价最低的获得中标人推荐资格。</w:t>
      </w:r>
    </w:p>
    <w:p w:rsidR="00FE53A0" w:rsidRPr="003F2D3B" w:rsidRDefault="00FE53A0" w:rsidP="00FE53A0">
      <w:pPr>
        <w:ind w:leftChars="134" w:left="281" w:firstLineChars="200" w:firstLine="482"/>
        <w:rPr>
          <w:rFonts w:ascii="仿宋_GB2312" w:eastAsia="仿宋_GB2312" w:hint="eastAsia"/>
          <w:b/>
          <w:color w:val="FF0000"/>
          <w:sz w:val="24"/>
        </w:rPr>
      </w:pPr>
      <w:r w:rsidRPr="003F2D3B">
        <w:rPr>
          <w:rFonts w:ascii="仿宋_GB2312" w:eastAsia="仿宋_GB2312" w:hint="eastAsia"/>
          <w:b/>
          <w:sz w:val="24"/>
        </w:rPr>
        <w:t>3、非单一产品采购项目，采购人应当根据采购项目技术构成、产品价格比重等合理确定核心产品，并在招标文件中载明。</w:t>
      </w:r>
      <w:r w:rsidRPr="003F2D3B">
        <w:rPr>
          <w:rFonts w:ascii="仿宋_GB2312" w:eastAsia="仿宋_GB2312" w:hint="eastAsia"/>
          <w:b/>
          <w:color w:val="FF0000"/>
          <w:sz w:val="24"/>
        </w:rPr>
        <w:t>多家投标人提供的全部核心产品品牌相同的，按第2条款规定处理。</w:t>
      </w:r>
    </w:p>
    <w:p w:rsidR="00FE53A0" w:rsidRPr="005D13AD" w:rsidRDefault="00FE53A0" w:rsidP="00FE53A0">
      <w:pPr>
        <w:rPr>
          <w:rFonts w:hint="eastAsia"/>
        </w:rPr>
      </w:pPr>
    </w:p>
    <w:bookmarkEnd w:id="2"/>
    <w:bookmarkEnd w:id="3"/>
    <w:bookmarkEnd w:id="4"/>
    <w:bookmarkEnd w:id="5"/>
    <w:p w:rsidR="008209E7" w:rsidRPr="00FE53A0" w:rsidRDefault="008209E7"/>
    <w:sectPr w:rsidR="008209E7" w:rsidRPr="00FE53A0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5FC" w:rsidRDefault="008209E7">
    <w:pPr>
      <w:pStyle w:val="a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1</w:t>
    </w:r>
    <w:r>
      <w:rPr>
        <w:b/>
        <w:sz w:val="24"/>
        <w:szCs w:val="24"/>
      </w:rPr>
      <w:fldChar w:fldCharType="end"/>
    </w:r>
  </w:p>
  <w:p w:rsidR="000835FC" w:rsidRDefault="008209E7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E53A0"/>
    <w:rsid w:val="008209E7"/>
    <w:rsid w:val="00FE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A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aliases w:val="H2,h2,Underrubrik1,prop2,sect 1.2,PIM2,Heading 2 Hidden,Heading 2 CCBS,Titre3,HD2,H21,sect 1.21,H22,sect 1.22,H211,sect 1.211,H23,sect 1.23,H212,sect 1.212,子系统,子系统1,子系统2,子系统3,子系统4,子系统11,子系统21,子系统31,子系统5,子系统12,子系统22,子系统32,子系统6,子系统13,子系统23,子系统33,子系统7"/>
    <w:basedOn w:val="a"/>
    <w:next w:val="a"/>
    <w:link w:val="2Char"/>
    <w:qFormat/>
    <w:rsid w:val="00FE53A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Char Char"/>
    <w:basedOn w:val="a"/>
    <w:next w:val="a"/>
    <w:link w:val="3Char1"/>
    <w:qFormat/>
    <w:rsid w:val="00FE53A0"/>
    <w:pPr>
      <w:keepNext/>
      <w:keepLines/>
      <w:spacing w:before="260" w:after="260" w:line="415" w:lineRule="auto"/>
      <w:outlineLvl w:val="2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H2 Char,h2 Char,Underrubrik1 Char,prop2 Char,sect 1.2 Char,PIM2 Char,Heading 2 Hidden Char,Heading 2 CCBS Char,Titre3 Char,HD2 Char,H21 Char,sect 1.21 Char,H22 Char,sect 1.22 Char,H211 Char,sect 1.211 Char,H23 Char,sect 1.23 Char,H212 Char"/>
    <w:basedOn w:val="a0"/>
    <w:link w:val="2"/>
    <w:rsid w:val="00FE53A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FE53A0"/>
    <w:rPr>
      <w:rFonts w:ascii="Calibri" w:eastAsia="宋体" w:hAnsi="Calibri" w:cs="Times New Roman"/>
      <w:b/>
      <w:bCs/>
      <w:sz w:val="32"/>
      <w:szCs w:val="32"/>
    </w:rPr>
  </w:style>
  <w:style w:type="character" w:customStyle="1" w:styleId="3Char1">
    <w:name w:val="标题 3 Char1"/>
    <w:aliases w:val="Char Char Char"/>
    <w:basedOn w:val="a0"/>
    <w:link w:val="3"/>
    <w:locked/>
    <w:rsid w:val="00FE53A0"/>
    <w:rPr>
      <w:rFonts w:ascii="Times New Roman" w:eastAsia="宋体" w:hAnsi="Times New Roman" w:cs="Times New Roman"/>
      <w:sz w:val="32"/>
      <w:szCs w:val="32"/>
    </w:rPr>
  </w:style>
  <w:style w:type="paragraph" w:styleId="a3">
    <w:name w:val="footer"/>
    <w:basedOn w:val="a"/>
    <w:link w:val="Char"/>
    <w:uiPriority w:val="99"/>
    <w:unhideWhenUsed/>
    <w:rsid w:val="00FE5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E53A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2023-09-13T07:58:00Z</dcterms:created>
  <dcterms:modified xsi:type="dcterms:W3CDTF">2023-09-13T07:59:00Z</dcterms:modified>
</cp:coreProperties>
</file>