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248" w:rsidRDefault="001E2248" w:rsidP="001E2248">
      <w:pPr>
        <w:pStyle w:val="3"/>
        <w:spacing w:after="72" w:line="260" w:lineRule="exact"/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项目摘要（详见招标文件）</w:t>
      </w:r>
    </w:p>
    <w:p w:rsidR="001E2248" w:rsidRDefault="001E2248" w:rsidP="001E2248">
      <w:pPr>
        <w:pStyle w:val="3"/>
        <w:spacing w:after="72" w:line="260" w:lineRule="exact"/>
        <w:jc w:val="center"/>
        <w:rPr>
          <w:rFonts w:ascii="仿宋_GB2312" w:eastAsia="仿宋_GB2312"/>
          <w:color w:val="FF0000"/>
          <w:sz w:val="28"/>
          <w:szCs w:val="28"/>
        </w:rPr>
      </w:pPr>
      <w:r>
        <w:rPr>
          <w:rFonts w:ascii="仿宋_GB2312" w:eastAsia="仿宋_GB2312" w:hint="eastAsia"/>
          <w:color w:val="FF0000"/>
          <w:sz w:val="28"/>
          <w:szCs w:val="28"/>
        </w:rPr>
        <w:t>声明：</w:t>
      </w:r>
    </w:p>
    <w:p w:rsidR="001E2248" w:rsidRDefault="001E2248" w:rsidP="001E2248">
      <w:pPr>
        <w:pStyle w:val="3"/>
        <w:spacing w:after="72" w:line="400" w:lineRule="exact"/>
        <w:rPr>
          <w:rFonts w:ascii="仿宋_GB2312" w:eastAsia="仿宋_GB2312" w:hint="eastAsia"/>
          <w:color w:val="FF0000"/>
          <w:sz w:val="28"/>
          <w:szCs w:val="28"/>
        </w:rPr>
      </w:pPr>
      <w:r>
        <w:rPr>
          <w:rFonts w:ascii="仿宋_GB2312" w:eastAsia="仿宋_GB2312" w:hint="eastAsia"/>
          <w:color w:val="FF0000"/>
          <w:sz w:val="28"/>
          <w:szCs w:val="28"/>
        </w:rPr>
        <w:t xml:space="preserve">    以下所述内容仅是本项目要求的摘要节选，其作用仅限于提供给那些有兴趣的供应商参考并决定是否参与投标，此内容不应被理解为招标文件中对项目的全部要求。</w:t>
      </w:r>
    </w:p>
    <w:p w:rsidR="00CC6F83" w:rsidRDefault="00CC6F83" w:rsidP="00CC6F83">
      <w:pPr>
        <w:pStyle w:val="3"/>
        <w:numPr>
          <w:ilvl w:val="0"/>
          <w:numId w:val="6"/>
        </w:numPr>
        <w:spacing w:after="0" w:line="416" w:lineRule="auto"/>
        <w:rPr>
          <w:rFonts w:ascii="宋体" w:hAnsi="宋体" w:hint="eastAsia"/>
          <w:sz w:val="24"/>
        </w:rPr>
      </w:pPr>
      <w:bookmarkStart w:id="0" w:name="_Toc528836662"/>
      <w:bookmarkStart w:id="1" w:name="_Toc528855116"/>
      <w:bookmarkStart w:id="2" w:name="_Toc36821223"/>
      <w:bookmarkStart w:id="3" w:name="_Toc82159949"/>
      <w:r w:rsidRPr="00DE0F4D">
        <w:rPr>
          <w:rFonts w:ascii="宋体" w:hAnsi="宋体"/>
          <w:sz w:val="24"/>
        </w:rPr>
        <w:t>总体要求</w:t>
      </w:r>
      <w:bookmarkStart w:id="4" w:name="ninejishuyaoqiu"/>
      <w:bookmarkStart w:id="5" w:name="_GoBack"/>
      <w:bookmarkEnd w:id="0"/>
      <w:bookmarkEnd w:id="1"/>
      <w:bookmarkEnd w:id="2"/>
      <w:bookmarkEnd w:id="3"/>
      <w:bookmarkEnd w:id="4"/>
      <w:bookmarkEnd w:id="5"/>
    </w:p>
    <w:p w:rsidR="00CC6F83" w:rsidRDefault="00CC6F83" w:rsidP="00CC6F83">
      <w:pPr>
        <w:numPr>
          <w:ilvl w:val="0"/>
          <w:numId w:val="5"/>
        </w:numPr>
        <w:spacing w:line="400" w:lineRule="exact"/>
        <w:rPr>
          <w:rFonts w:hAnsi="宋体"/>
          <w:szCs w:val="21"/>
        </w:rPr>
      </w:pPr>
      <w:r>
        <w:rPr>
          <w:rFonts w:hAnsi="宋体" w:hint="eastAsia"/>
          <w:szCs w:val="21"/>
        </w:rPr>
        <w:t>符合中国相关法规和通用安全标准。若在调试过程中发现附件不全或不能运行，卖方应无偿补全、完善或更换，并承担买方由此产生的损失。</w:t>
      </w:r>
    </w:p>
    <w:p w:rsidR="00CC6F83" w:rsidRDefault="00CC6F83" w:rsidP="00CC6F83">
      <w:pPr>
        <w:numPr>
          <w:ilvl w:val="0"/>
          <w:numId w:val="5"/>
        </w:numPr>
        <w:spacing w:line="400" w:lineRule="exact"/>
        <w:rPr>
          <w:rFonts w:hAnsi="宋体"/>
          <w:szCs w:val="21"/>
        </w:rPr>
      </w:pPr>
      <w:r>
        <w:rPr>
          <w:kern w:val="0"/>
          <w:szCs w:val="21"/>
        </w:rPr>
        <w:t>投标</w:t>
      </w:r>
      <w:r>
        <w:rPr>
          <w:rFonts w:hint="eastAsia"/>
          <w:kern w:val="0"/>
          <w:szCs w:val="21"/>
        </w:rPr>
        <w:t>人</w:t>
      </w:r>
      <w:r>
        <w:rPr>
          <w:kern w:val="0"/>
          <w:szCs w:val="21"/>
        </w:rPr>
        <w:t>及其投标产品的</w:t>
      </w:r>
      <w:r>
        <w:rPr>
          <w:rFonts w:hint="eastAsia"/>
          <w:kern w:val="0"/>
          <w:szCs w:val="21"/>
        </w:rPr>
        <w:t>制造厂商</w:t>
      </w:r>
      <w:r>
        <w:rPr>
          <w:kern w:val="0"/>
          <w:szCs w:val="21"/>
        </w:rPr>
        <w:t>须保证其产品为原装正品</w:t>
      </w:r>
      <w:r>
        <w:rPr>
          <w:rFonts w:hint="eastAsia"/>
          <w:kern w:val="0"/>
          <w:szCs w:val="21"/>
        </w:rPr>
        <w:t>。不接受分厂、贴牌及非正当进货渠道产品。</w:t>
      </w:r>
      <w:r>
        <w:rPr>
          <w:kern w:val="0"/>
          <w:szCs w:val="21"/>
        </w:rPr>
        <w:t>由于投标</w:t>
      </w:r>
      <w:r>
        <w:rPr>
          <w:rFonts w:hint="eastAsia"/>
          <w:kern w:val="0"/>
          <w:szCs w:val="21"/>
        </w:rPr>
        <w:t>人</w:t>
      </w:r>
      <w:r>
        <w:rPr>
          <w:kern w:val="0"/>
          <w:szCs w:val="21"/>
        </w:rPr>
        <w:t>、</w:t>
      </w:r>
      <w:r>
        <w:rPr>
          <w:rFonts w:hint="eastAsia"/>
          <w:kern w:val="0"/>
          <w:szCs w:val="21"/>
        </w:rPr>
        <w:t>制造厂商或其</w:t>
      </w:r>
      <w:r>
        <w:rPr>
          <w:kern w:val="0"/>
          <w:szCs w:val="21"/>
        </w:rPr>
        <w:t>产品引起的法律纠纷</w:t>
      </w:r>
      <w:r>
        <w:rPr>
          <w:rFonts w:hint="eastAsia"/>
          <w:kern w:val="0"/>
          <w:szCs w:val="21"/>
        </w:rPr>
        <w:t>、相关</w:t>
      </w:r>
      <w:r>
        <w:rPr>
          <w:kern w:val="0"/>
          <w:szCs w:val="21"/>
        </w:rPr>
        <w:t>责任及由此引起的后果</w:t>
      </w:r>
      <w:r>
        <w:rPr>
          <w:rFonts w:hint="eastAsia"/>
          <w:kern w:val="0"/>
          <w:szCs w:val="21"/>
        </w:rPr>
        <w:t>与采购人无关。</w:t>
      </w:r>
      <w:r>
        <w:rPr>
          <w:kern w:val="0"/>
          <w:szCs w:val="21"/>
        </w:rPr>
        <w:t>由此给</w:t>
      </w:r>
      <w:r>
        <w:rPr>
          <w:rFonts w:hint="eastAsia"/>
          <w:kern w:val="0"/>
          <w:szCs w:val="21"/>
        </w:rPr>
        <w:t>采购人</w:t>
      </w:r>
      <w:r>
        <w:rPr>
          <w:kern w:val="0"/>
          <w:szCs w:val="21"/>
        </w:rPr>
        <w:t>造成</w:t>
      </w:r>
      <w:r>
        <w:rPr>
          <w:rFonts w:hint="eastAsia"/>
          <w:kern w:val="0"/>
          <w:szCs w:val="21"/>
        </w:rPr>
        <w:t>任何</w:t>
      </w:r>
      <w:r>
        <w:rPr>
          <w:kern w:val="0"/>
          <w:szCs w:val="21"/>
        </w:rPr>
        <w:t>损失由投标</w:t>
      </w:r>
      <w:r>
        <w:rPr>
          <w:rFonts w:hint="eastAsia"/>
          <w:kern w:val="0"/>
          <w:szCs w:val="21"/>
        </w:rPr>
        <w:t>人</w:t>
      </w:r>
      <w:r>
        <w:rPr>
          <w:kern w:val="0"/>
          <w:szCs w:val="21"/>
        </w:rPr>
        <w:t>及</w:t>
      </w:r>
      <w:r>
        <w:rPr>
          <w:rFonts w:hint="eastAsia"/>
          <w:kern w:val="0"/>
          <w:szCs w:val="21"/>
        </w:rPr>
        <w:t>产品制造商</w:t>
      </w:r>
      <w:r>
        <w:rPr>
          <w:kern w:val="0"/>
          <w:szCs w:val="21"/>
        </w:rPr>
        <w:t>承担。</w:t>
      </w:r>
    </w:p>
    <w:p w:rsidR="00CC6F83" w:rsidRDefault="00CC6F83" w:rsidP="00CC6F83">
      <w:pPr>
        <w:numPr>
          <w:ilvl w:val="0"/>
          <w:numId w:val="5"/>
        </w:numPr>
        <w:spacing w:line="400" w:lineRule="exact"/>
        <w:rPr>
          <w:rFonts w:hAnsi="宋体"/>
          <w:szCs w:val="21"/>
        </w:rPr>
      </w:pPr>
      <w:r>
        <w:rPr>
          <w:rFonts w:hAnsi="宋体" w:hint="eastAsia"/>
          <w:szCs w:val="21"/>
        </w:rPr>
        <w:t>投标人必须提供</w:t>
      </w:r>
      <w:r>
        <w:rPr>
          <w:rFonts w:ascii="宋体" w:hAnsi="宋体" w:hint="eastAsia"/>
          <w:szCs w:val="21"/>
        </w:rPr>
        <w:t>全新的原包装产品，随机技术资料齐全，产品符合国家质量检测标准。</w:t>
      </w:r>
    </w:p>
    <w:p w:rsidR="00CC6F83" w:rsidRDefault="00CC6F83" w:rsidP="00CC6F83">
      <w:pPr>
        <w:numPr>
          <w:ilvl w:val="0"/>
          <w:numId w:val="5"/>
        </w:numPr>
        <w:spacing w:line="400" w:lineRule="exact"/>
        <w:rPr>
          <w:rFonts w:hAnsi="宋体"/>
          <w:szCs w:val="21"/>
        </w:rPr>
      </w:pPr>
      <w:r>
        <w:rPr>
          <w:rFonts w:hint="eastAsia"/>
        </w:rPr>
        <w:t>本章</w:t>
      </w:r>
      <w:r>
        <w:t>技术要求仅为</w:t>
      </w:r>
      <w:r>
        <w:rPr>
          <w:rFonts w:hint="eastAsia"/>
        </w:rPr>
        <w:t>对设备</w:t>
      </w:r>
      <w:r>
        <w:t>的一般要求，投标人应按国际及国内的有关标准、规范及条例提供</w:t>
      </w:r>
      <w:r>
        <w:rPr>
          <w:rFonts w:hint="eastAsia"/>
        </w:rPr>
        <w:t>设备</w:t>
      </w:r>
      <w:r>
        <w:t>技术服务和承诺。技术要求中未列的，投标</w:t>
      </w:r>
      <w:r>
        <w:rPr>
          <w:rFonts w:hint="eastAsia"/>
        </w:rPr>
        <w:t>人</w:t>
      </w:r>
      <w:r>
        <w:t>认为须加以补充的内容，技术条款须特别注明，并提供相应资料</w:t>
      </w:r>
      <w:r>
        <w:rPr>
          <w:rFonts w:hint="eastAsia"/>
        </w:rPr>
        <w:t>。</w:t>
      </w:r>
    </w:p>
    <w:p w:rsidR="00CC6F83" w:rsidRPr="00C91FDB" w:rsidRDefault="00CC6F83" w:rsidP="00CC6F83">
      <w:pPr>
        <w:numPr>
          <w:ilvl w:val="0"/>
          <w:numId w:val="5"/>
        </w:numPr>
        <w:spacing w:line="400" w:lineRule="exact"/>
        <w:rPr>
          <w:b/>
          <w:szCs w:val="21"/>
        </w:rPr>
      </w:pPr>
      <w:r w:rsidRPr="00C91FDB">
        <w:rPr>
          <w:b/>
        </w:rPr>
        <w:t>标注（</w:t>
      </w:r>
      <w:r w:rsidRPr="00C91FDB">
        <w:rPr>
          <w:b/>
        </w:rPr>
        <w:t>"★"</w:t>
      </w:r>
      <w:r w:rsidRPr="00C91FDB">
        <w:rPr>
          <w:b/>
        </w:rPr>
        <w:t>）号的条款为重要技术要求，投标文件中对标注（</w:t>
      </w:r>
      <w:r w:rsidRPr="00C91FDB">
        <w:rPr>
          <w:b/>
        </w:rPr>
        <w:t>"★"</w:t>
      </w:r>
      <w:r w:rsidRPr="00C91FDB">
        <w:rPr>
          <w:b/>
        </w:rPr>
        <w:t>）号的条款不响应或任何的不满足（负偏离），将导致投标无效。</w:t>
      </w:r>
    </w:p>
    <w:p w:rsidR="00CC6F83" w:rsidRPr="003D6E73" w:rsidRDefault="00CC6F83" w:rsidP="00CC6F83">
      <w:pPr>
        <w:numPr>
          <w:ilvl w:val="0"/>
          <w:numId w:val="5"/>
        </w:numPr>
        <w:spacing w:line="400" w:lineRule="exact"/>
        <w:rPr>
          <w:b/>
          <w:szCs w:val="21"/>
        </w:rPr>
      </w:pPr>
      <w:bookmarkStart w:id="6" w:name="_Toc383095750"/>
      <w:r w:rsidRPr="00C91FDB">
        <w:rPr>
          <w:b/>
          <w:szCs w:val="21"/>
        </w:rPr>
        <w:t>以下内容若有标注</w:t>
      </w:r>
      <w:r w:rsidRPr="00C91FDB">
        <w:rPr>
          <w:b/>
          <w:szCs w:val="21"/>
        </w:rPr>
        <w:t>“▲”</w:t>
      </w:r>
      <w:r w:rsidRPr="00C91FDB">
        <w:rPr>
          <w:b/>
          <w:szCs w:val="21"/>
        </w:rPr>
        <w:t>的条款均为非不可偏离条款，仅作为综合评分时的重要依据。</w:t>
      </w:r>
      <w:bookmarkEnd w:id="6"/>
    </w:p>
    <w:p w:rsidR="00CC6F83" w:rsidRPr="00867FA8" w:rsidRDefault="00CC6F83" w:rsidP="00CC6F83">
      <w:pPr>
        <w:pStyle w:val="3"/>
        <w:numPr>
          <w:ilvl w:val="0"/>
          <w:numId w:val="6"/>
        </w:numPr>
        <w:spacing w:before="120" w:after="0" w:line="416" w:lineRule="auto"/>
        <w:rPr>
          <w:rFonts w:ascii="宋体" w:hAnsi="宋体" w:hint="eastAsia"/>
          <w:sz w:val="24"/>
        </w:rPr>
      </w:pPr>
      <w:bookmarkStart w:id="7" w:name="_Toc528855117"/>
      <w:bookmarkStart w:id="8" w:name="_Toc36821224"/>
      <w:bookmarkStart w:id="9" w:name="_Toc82159950"/>
      <w:r w:rsidRPr="00CA28D4">
        <w:rPr>
          <w:rFonts w:ascii="宋体" w:hAnsi="宋体" w:hint="eastAsia"/>
          <w:sz w:val="24"/>
        </w:rPr>
        <w:t>★供货范围</w:t>
      </w:r>
      <w:bookmarkEnd w:id="7"/>
      <w:bookmarkEnd w:id="8"/>
      <w:r>
        <w:rPr>
          <w:rFonts w:ascii="宋体" w:hAnsi="宋体" w:hint="eastAsia"/>
          <w:sz w:val="24"/>
        </w:rPr>
        <w:t>（货物清单）</w:t>
      </w:r>
      <w:bookmarkEnd w:id="9"/>
    </w:p>
    <w:tbl>
      <w:tblPr>
        <w:tblW w:w="4365" w:type="pct"/>
        <w:tblInd w:w="748" w:type="dxa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000"/>
      </w:tblPr>
      <w:tblGrid>
        <w:gridCol w:w="712"/>
        <w:gridCol w:w="2126"/>
        <w:gridCol w:w="1138"/>
        <w:gridCol w:w="1196"/>
        <w:gridCol w:w="2268"/>
      </w:tblGrid>
      <w:tr w:rsidR="00CC6F83" w:rsidTr="00EF5C1B">
        <w:trPr>
          <w:trHeight w:val="448"/>
        </w:trPr>
        <w:tc>
          <w:tcPr>
            <w:tcW w:w="478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CC6F83" w:rsidRDefault="00CC6F83" w:rsidP="00EF5C1B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1429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CC6F83" w:rsidRDefault="00CC6F83" w:rsidP="00EF5C1B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</w:rPr>
              <w:t>货物名称</w:t>
            </w:r>
          </w:p>
        </w:tc>
        <w:tc>
          <w:tcPr>
            <w:tcW w:w="765" w:type="pct"/>
            <w:tcBorders>
              <w:top w:val="double" w:sz="2" w:space="0" w:color="auto"/>
              <w:left w:val="nil"/>
              <w:bottom w:val="double" w:sz="2" w:space="0" w:color="auto"/>
              <w:right w:val="double" w:sz="2" w:space="0" w:color="auto"/>
            </w:tcBorders>
            <w:vAlign w:val="center"/>
          </w:tcPr>
          <w:p w:rsidR="00CC6F83" w:rsidRDefault="00CC6F83" w:rsidP="00EF5C1B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</w:rPr>
              <w:t>数量</w:t>
            </w:r>
          </w:p>
        </w:tc>
        <w:tc>
          <w:tcPr>
            <w:tcW w:w="804" w:type="pct"/>
            <w:tcBorders>
              <w:top w:val="double" w:sz="2" w:space="0" w:color="auto"/>
              <w:left w:val="nil"/>
              <w:bottom w:val="double" w:sz="2" w:space="0" w:color="auto"/>
              <w:right w:val="double" w:sz="2" w:space="0" w:color="auto"/>
            </w:tcBorders>
            <w:vAlign w:val="center"/>
          </w:tcPr>
          <w:p w:rsidR="00CC6F83" w:rsidRDefault="00CC6F83" w:rsidP="00EF5C1B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</w:rPr>
              <w:t>备注</w:t>
            </w:r>
          </w:p>
        </w:tc>
        <w:tc>
          <w:tcPr>
            <w:tcW w:w="1524" w:type="pct"/>
            <w:tcBorders>
              <w:top w:val="double" w:sz="2" w:space="0" w:color="auto"/>
              <w:left w:val="nil"/>
              <w:bottom w:val="double" w:sz="2" w:space="0" w:color="auto"/>
              <w:right w:val="double" w:sz="2" w:space="0" w:color="auto"/>
            </w:tcBorders>
            <w:shd w:val="clear" w:color="auto" w:fill="auto"/>
            <w:vAlign w:val="center"/>
          </w:tcPr>
          <w:p w:rsidR="00CC6F83" w:rsidRDefault="00CC6F83" w:rsidP="00EF5C1B">
            <w:pPr>
              <w:jc w:val="center"/>
              <w:rPr>
                <w:rFonts w:hint="eastAsia"/>
                <w:b/>
                <w:bCs/>
              </w:rPr>
            </w:pPr>
            <w:r w:rsidRPr="006E25F0">
              <w:rPr>
                <w:rFonts w:hint="eastAsia"/>
                <w:b/>
                <w:bCs/>
                <w:szCs w:val="21"/>
              </w:rPr>
              <w:t>财政预算限额（元）</w:t>
            </w:r>
          </w:p>
        </w:tc>
      </w:tr>
      <w:tr w:rsidR="00CC6F83" w:rsidTr="00EF5C1B">
        <w:trPr>
          <w:trHeight w:val="527"/>
        </w:trPr>
        <w:tc>
          <w:tcPr>
            <w:tcW w:w="478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CC6F83" w:rsidRDefault="00CC6F83" w:rsidP="00EF5C1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429" w:type="pc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:rsidR="00CC6F83" w:rsidRDefault="00CC6F83" w:rsidP="00EF5C1B">
            <w:pPr>
              <w:jc w:val="center"/>
              <w:rPr>
                <w:rFonts w:ascii="宋体" w:hAnsi="宋体" w:cs="宋体"/>
                <w:szCs w:val="21"/>
              </w:rPr>
            </w:pPr>
            <w:r w:rsidRPr="00867FA8">
              <w:rPr>
                <w:rFonts w:hint="eastAsia"/>
                <w:szCs w:val="21"/>
              </w:rPr>
              <w:t>高效液相色谱仪</w:t>
            </w:r>
          </w:p>
        </w:tc>
        <w:tc>
          <w:tcPr>
            <w:tcW w:w="765" w:type="pct"/>
            <w:tcBorders>
              <w:top w:val="double" w:sz="2" w:space="0" w:color="auto"/>
              <w:left w:val="nil"/>
              <w:bottom w:val="double" w:sz="2" w:space="0" w:color="auto"/>
              <w:right w:val="double" w:sz="2" w:space="0" w:color="auto"/>
            </w:tcBorders>
            <w:vAlign w:val="center"/>
          </w:tcPr>
          <w:p w:rsidR="00CC6F83" w:rsidRDefault="00CC6F83" w:rsidP="00EF5C1B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1台</w:t>
            </w:r>
          </w:p>
        </w:tc>
        <w:tc>
          <w:tcPr>
            <w:tcW w:w="804" w:type="pct"/>
            <w:tcBorders>
              <w:top w:val="double" w:sz="2" w:space="0" w:color="auto"/>
              <w:left w:val="nil"/>
              <w:bottom w:val="double" w:sz="2" w:space="0" w:color="auto"/>
              <w:right w:val="double" w:sz="2" w:space="0" w:color="auto"/>
            </w:tcBorders>
            <w:vAlign w:val="center"/>
          </w:tcPr>
          <w:p w:rsidR="00CC6F83" w:rsidRDefault="00CC6F83" w:rsidP="00EF5C1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接受进口</w:t>
            </w:r>
          </w:p>
        </w:tc>
        <w:tc>
          <w:tcPr>
            <w:tcW w:w="1524" w:type="pct"/>
            <w:tcBorders>
              <w:top w:val="double" w:sz="2" w:space="0" w:color="auto"/>
              <w:left w:val="nil"/>
              <w:bottom w:val="double" w:sz="2" w:space="0" w:color="auto"/>
              <w:right w:val="double" w:sz="2" w:space="0" w:color="auto"/>
            </w:tcBorders>
            <w:shd w:val="clear" w:color="auto" w:fill="auto"/>
            <w:vAlign w:val="center"/>
          </w:tcPr>
          <w:p w:rsidR="00CC6F83" w:rsidRPr="00EC2442" w:rsidRDefault="00CC6F83" w:rsidP="00EF5C1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50</w:t>
            </w:r>
            <w:r w:rsidRPr="00CE77C0">
              <w:rPr>
                <w:szCs w:val="21"/>
              </w:rPr>
              <w:t>0,000.00</w:t>
            </w:r>
          </w:p>
        </w:tc>
      </w:tr>
    </w:tbl>
    <w:p w:rsidR="00CC6F83" w:rsidRDefault="00CC6F83" w:rsidP="00CC6F83">
      <w:pPr>
        <w:spacing w:beforeLines="50"/>
        <w:ind w:leftChars="100" w:left="929" w:hangingChars="341" w:hanging="719"/>
        <w:rPr>
          <w:rFonts w:ascii="宋体" w:hAnsi="宋体" w:hint="eastAsia"/>
          <w:b/>
          <w:szCs w:val="21"/>
        </w:rPr>
      </w:pPr>
      <w:r w:rsidRPr="00560EDB">
        <w:rPr>
          <w:rFonts w:ascii="宋体" w:hAnsi="宋体" w:hint="eastAsia"/>
          <w:b/>
          <w:szCs w:val="21"/>
        </w:rPr>
        <w:t>备注：1</w:t>
      </w:r>
      <w:r>
        <w:rPr>
          <w:rFonts w:ascii="宋体" w:hAnsi="宋体" w:hint="eastAsia"/>
          <w:b/>
          <w:szCs w:val="21"/>
        </w:rPr>
        <w:t>.</w:t>
      </w:r>
      <w:r w:rsidRPr="00560EDB">
        <w:rPr>
          <w:rFonts w:ascii="宋体" w:hAnsi="宋体" w:hint="eastAsia"/>
          <w:b/>
          <w:szCs w:val="21"/>
        </w:rPr>
        <w:t>备注栏注明“拒绝进口”的产品不接受投标人选用进口产品参与投标；注明“接</w:t>
      </w:r>
    </w:p>
    <w:p w:rsidR="00CC6F83" w:rsidRPr="00560EDB" w:rsidRDefault="00CC6F83" w:rsidP="00CC6F83">
      <w:pPr>
        <w:ind w:leftChars="400" w:left="926" w:hangingChars="41" w:hanging="86"/>
        <w:rPr>
          <w:rFonts w:ascii="宋体" w:hAnsi="宋体"/>
          <w:b/>
          <w:szCs w:val="21"/>
        </w:rPr>
      </w:pPr>
      <w:r w:rsidRPr="00560EDB">
        <w:rPr>
          <w:rFonts w:ascii="宋体" w:hAnsi="宋体" w:hint="eastAsia"/>
          <w:b/>
          <w:szCs w:val="21"/>
        </w:rPr>
        <w:t xml:space="preserve">受进口”的产品允许投标人选用进口产品参与投标，但不排斥国内产品。 </w:t>
      </w:r>
    </w:p>
    <w:p w:rsidR="00CC6F83" w:rsidRDefault="00CC6F83" w:rsidP="00CC6F83">
      <w:pPr>
        <w:ind w:leftChars="400" w:left="840"/>
        <w:rPr>
          <w:rFonts w:ascii="宋体" w:hAnsi="宋体" w:hint="eastAsia"/>
          <w:b/>
          <w:szCs w:val="21"/>
        </w:rPr>
      </w:pPr>
      <w:r w:rsidRPr="00560EDB">
        <w:rPr>
          <w:rFonts w:ascii="宋体" w:hAnsi="宋体" w:hint="eastAsia"/>
          <w:b/>
          <w:szCs w:val="21"/>
        </w:rPr>
        <w:t>2</w:t>
      </w:r>
      <w:r>
        <w:rPr>
          <w:rFonts w:ascii="宋体" w:hAnsi="宋体" w:hint="eastAsia"/>
          <w:b/>
          <w:szCs w:val="21"/>
        </w:rPr>
        <w:t>.</w:t>
      </w:r>
      <w:r w:rsidRPr="00560EDB">
        <w:rPr>
          <w:rFonts w:ascii="宋体" w:hAnsi="宋体" w:hint="eastAsia"/>
          <w:b/>
          <w:szCs w:val="21"/>
        </w:rPr>
        <w:t>进口产品是指通过海关验放进入中国境内且产自关境外的产品。即所谓进口产品是指制造过程均在国外，如果产品在国内组装，其中的零部件（包括核心部件）是进口产品，则应当视为非进口产品。采用“接受进口”的产品优先采购向我国企业转让技术、与我国企业签订消化吸收再创新方案的供应商的进口产品，相关内容以财库〔2007〕119 号文和财办库〔2008〕248 号文的相关规定为准。</w:t>
      </w:r>
    </w:p>
    <w:p w:rsidR="00CC6F83" w:rsidRPr="003D6E73" w:rsidRDefault="00CC6F83" w:rsidP="00CC6F83">
      <w:pPr>
        <w:ind w:leftChars="400" w:left="840"/>
        <w:rPr>
          <w:rFonts w:hint="eastAsia"/>
          <w:b/>
          <w:bCs/>
          <w:sz w:val="18"/>
          <w:szCs w:val="18"/>
        </w:rPr>
      </w:pPr>
    </w:p>
    <w:p w:rsidR="00CC6F83" w:rsidRDefault="00CC6F83" w:rsidP="00CC6F83">
      <w:pPr>
        <w:pStyle w:val="3"/>
        <w:numPr>
          <w:ilvl w:val="0"/>
          <w:numId w:val="6"/>
        </w:numPr>
        <w:spacing w:beforeLines="50" w:after="0" w:line="416" w:lineRule="auto"/>
        <w:rPr>
          <w:rFonts w:ascii="宋体" w:hAnsi="宋体" w:hint="eastAsia"/>
          <w:sz w:val="24"/>
        </w:rPr>
      </w:pPr>
      <w:bookmarkStart w:id="10" w:name="_Toc82159951"/>
      <w:r>
        <w:rPr>
          <w:rFonts w:ascii="宋体" w:hAnsi="宋体" w:hint="eastAsia"/>
          <w:sz w:val="24"/>
        </w:rPr>
        <w:lastRenderedPageBreak/>
        <w:t>主要</w:t>
      </w:r>
      <w:r w:rsidRPr="00922867">
        <w:rPr>
          <w:rFonts w:ascii="宋体" w:hAnsi="宋体" w:hint="eastAsia"/>
          <w:sz w:val="24"/>
        </w:rPr>
        <w:t>技术要求</w:t>
      </w:r>
      <w:bookmarkEnd w:id="10"/>
    </w:p>
    <w:p w:rsidR="00CC6F83" w:rsidRPr="00BD0B49" w:rsidRDefault="00CC6F83" w:rsidP="00CC6F83">
      <w:pPr>
        <w:rPr>
          <w:rFonts w:hint="eastAsia"/>
        </w:rPr>
      </w:pPr>
    </w:p>
    <w:p w:rsidR="00CC6F83" w:rsidRPr="00867FA8" w:rsidRDefault="00CC6F83" w:rsidP="00CC6F83">
      <w:pPr>
        <w:spacing w:line="360" w:lineRule="auto"/>
        <w:rPr>
          <w:rFonts w:ascii="宋体" w:hAnsi="宋体" w:cs="宋体" w:hint="eastAsia"/>
          <w:b/>
          <w:bCs/>
          <w:szCs w:val="21"/>
        </w:rPr>
      </w:pPr>
      <w:r w:rsidRPr="00867FA8">
        <w:rPr>
          <w:rFonts w:ascii="宋体" w:hAnsi="宋体" w:cs="宋体" w:hint="eastAsia"/>
          <w:b/>
          <w:bCs/>
          <w:szCs w:val="21"/>
        </w:rPr>
        <w:t>（一）技术参数</w:t>
      </w:r>
    </w:p>
    <w:p w:rsidR="00CC6F83" w:rsidRDefault="00CC6F83" w:rsidP="00CC6F83">
      <w:pPr>
        <w:rPr>
          <w:rFonts w:hint="eastAsia"/>
        </w:rPr>
      </w:pPr>
      <w:r w:rsidRPr="00A04FBD">
        <w:rPr>
          <w:rFonts w:hint="eastAsia"/>
        </w:rPr>
        <w:t>★</w:t>
      </w:r>
      <w:r>
        <w:rPr>
          <w:rFonts w:hint="eastAsia"/>
        </w:rPr>
        <w:t>1</w:t>
      </w:r>
      <w:r>
        <w:rPr>
          <w:rFonts w:hint="eastAsia"/>
        </w:rPr>
        <w:t>、系统控制：支持仪器面板、工作站及电脑终端控制</w:t>
      </w:r>
    </w:p>
    <w:p w:rsidR="00CC6F83" w:rsidRDefault="00CC6F83" w:rsidP="00CC6F83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、输液泵</w:t>
      </w:r>
    </w:p>
    <w:p w:rsidR="00CC6F83" w:rsidRDefault="00CC6F83" w:rsidP="00CC6F83">
      <w:pPr>
        <w:spacing w:line="360" w:lineRule="auto"/>
        <w:rPr>
          <w:rFonts w:ascii="宋体" w:hAnsi="宋体" w:cs="宋体" w:hint="eastAsia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①脱气单元≥</w:t>
      </w:r>
      <w:r>
        <w:rPr>
          <w:rFonts w:ascii="宋体" w:hAnsi="宋体" w:cs="宋体"/>
          <w:bCs/>
          <w:szCs w:val="21"/>
        </w:rPr>
        <w:t>5</w:t>
      </w:r>
      <w:r>
        <w:rPr>
          <w:rFonts w:ascii="宋体" w:hAnsi="宋体" w:cs="宋体" w:hint="eastAsia"/>
          <w:bCs/>
          <w:szCs w:val="21"/>
        </w:rPr>
        <w:t>路</w:t>
      </w:r>
    </w:p>
    <w:p w:rsidR="00CC6F83" w:rsidRDefault="00CC6F83" w:rsidP="00CC6F83">
      <w:pPr>
        <w:spacing w:line="360" w:lineRule="auto"/>
        <w:rPr>
          <w:rFonts w:ascii="宋体" w:hAnsi="宋体" w:cs="宋体" w:hint="eastAsia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②泵类型：并联双柱塞</w:t>
      </w:r>
    </w:p>
    <w:p w:rsidR="00CC6F83" w:rsidRDefault="00CC6F83" w:rsidP="00CC6F83">
      <w:pPr>
        <w:spacing w:line="360" w:lineRule="auto"/>
        <w:rPr>
          <w:rFonts w:ascii="宋体" w:hAnsi="宋体" w:cs="宋体" w:hint="eastAsia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③脉动：&lt; 0.1MPa</w:t>
      </w:r>
    </w:p>
    <w:p w:rsidR="00CC6F83" w:rsidRDefault="00CC6F83" w:rsidP="00CC6F83">
      <w:pPr>
        <w:spacing w:line="360" w:lineRule="auto"/>
        <w:rPr>
          <w:rFonts w:ascii="宋体" w:hAnsi="宋体" w:cs="宋体" w:hint="eastAsia"/>
          <w:bCs/>
          <w:szCs w:val="21"/>
        </w:rPr>
      </w:pPr>
      <w:r w:rsidRPr="00A04FBD">
        <w:rPr>
          <w:rFonts w:ascii="宋体" w:hAnsi="宋体" w:cs="宋体" w:hint="eastAsia"/>
          <w:bCs/>
          <w:szCs w:val="21"/>
        </w:rPr>
        <w:t>▲</w:t>
      </w:r>
      <w:r>
        <w:rPr>
          <w:rFonts w:ascii="宋体" w:hAnsi="宋体" w:cs="宋体" w:hint="eastAsia"/>
          <w:bCs/>
          <w:szCs w:val="21"/>
        </w:rPr>
        <w:t>④流速范围：0.0</w:t>
      </w:r>
      <w:r>
        <w:rPr>
          <w:rFonts w:ascii="宋体" w:hAnsi="宋体" w:cs="宋体"/>
          <w:bCs/>
          <w:szCs w:val="21"/>
        </w:rPr>
        <w:t>0</w:t>
      </w:r>
      <w:r>
        <w:rPr>
          <w:rFonts w:ascii="宋体" w:hAnsi="宋体" w:cs="宋体" w:hint="eastAsia"/>
          <w:bCs/>
          <w:szCs w:val="21"/>
        </w:rPr>
        <w:t xml:space="preserve">01-10 </w:t>
      </w:r>
      <w:proofErr w:type="spellStart"/>
      <w:r>
        <w:rPr>
          <w:rFonts w:ascii="宋体" w:hAnsi="宋体" w:cs="宋体" w:hint="eastAsia"/>
          <w:bCs/>
          <w:szCs w:val="21"/>
        </w:rPr>
        <w:t>mL</w:t>
      </w:r>
      <w:proofErr w:type="spellEnd"/>
      <w:r>
        <w:rPr>
          <w:rFonts w:ascii="宋体" w:hAnsi="宋体" w:cs="宋体" w:hint="eastAsia"/>
          <w:bCs/>
          <w:szCs w:val="21"/>
        </w:rPr>
        <w:t>/min。</w:t>
      </w:r>
    </w:p>
    <w:p w:rsidR="00CC6F83" w:rsidRDefault="00CC6F83" w:rsidP="00CC6F83">
      <w:pPr>
        <w:spacing w:line="360" w:lineRule="auto"/>
        <w:rPr>
          <w:rFonts w:ascii="宋体" w:hAnsi="宋体" w:cs="宋体" w:hint="eastAsia"/>
          <w:bCs/>
          <w:szCs w:val="21"/>
        </w:rPr>
      </w:pPr>
      <w:r w:rsidRPr="00A04FBD">
        <w:rPr>
          <w:rFonts w:ascii="宋体" w:hAnsi="宋体" w:cs="宋体" w:hint="eastAsia"/>
          <w:bCs/>
          <w:szCs w:val="21"/>
        </w:rPr>
        <w:t>▲</w:t>
      </w:r>
      <w:r>
        <w:rPr>
          <w:rFonts w:ascii="宋体" w:hAnsi="宋体" w:cs="宋体" w:hint="eastAsia"/>
          <w:bCs/>
          <w:szCs w:val="21"/>
        </w:rPr>
        <w:t>⑤流速准确度：±1% 或 ±2uL/min</w:t>
      </w:r>
    </w:p>
    <w:p w:rsidR="00CC6F83" w:rsidRDefault="00CC6F83" w:rsidP="00CC6F83">
      <w:pPr>
        <w:spacing w:line="360" w:lineRule="auto"/>
        <w:rPr>
          <w:rFonts w:ascii="宋体" w:hAnsi="宋体" w:cs="宋体" w:hint="eastAsia"/>
          <w:bCs/>
          <w:szCs w:val="21"/>
        </w:rPr>
      </w:pPr>
      <w:r w:rsidRPr="00A04FBD">
        <w:rPr>
          <w:rFonts w:ascii="宋体" w:hAnsi="宋体" w:cs="宋体" w:hint="eastAsia"/>
          <w:bCs/>
          <w:szCs w:val="21"/>
        </w:rPr>
        <w:t>▲</w:t>
      </w:r>
      <w:r>
        <w:rPr>
          <w:rFonts w:ascii="宋体" w:hAnsi="宋体" w:cs="宋体" w:hint="eastAsia"/>
          <w:bCs/>
          <w:szCs w:val="21"/>
        </w:rPr>
        <w:t>⑥流速重现性： &lt;0.06% RSD 或 &lt;0.02min SD</w:t>
      </w:r>
    </w:p>
    <w:p w:rsidR="00CC6F83" w:rsidRDefault="00CC6F83" w:rsidP="00CC6F83">
      <w:pPr>
        <w:spacing w:line="360" w:lineRule="auto"/>
        <w:rPr>
          <w:rFonts w:ascii="宋体" w:hAnsi="宋体" w:cs="宋体" w:hint="eastAsia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⑦梯度重现性：±0.1%</w:t>
      </w:r>
    </w:p>
    <w:p w:rsidR="00CC6F83" w:rsidRDefault="00CC6F83" w:rsidP="00CC6F83">
      <w:pPr>
        <w:spacing w:line="360" w:lineRule="auto"/>
        <w:rPr>
          <w:rFonts w:ascii="宋体" w:hAnsi="宋体" w:cs="宋体" w:hint="eastAsia"/>
          <w:bCs/>
          <w:szCs w:val="21"/>
        </w:rPr>
      </w:pPr>
      <w:r w:rsidRPr="00A04FBD">
        <w:rPr>
          <w:rFonts w:ascii="宋体" w:hAnsi="宋体" w:cs="宋体" w:hint="eastAsia"/>
          <w:bCs/>
          <w:szCs w:val="21"/>
        </w:rPr>
        <w:t>▲</w:t>
      </w:r>
      <w:r>
        <w:rPr>
          <w:rFonts w:ascii="宋体" w:hAnsi="宋体" w:cs="宋体" w:hint="eastAsia"/>
          <w:bCs/>
          <w:szCs w:val="21"/>
        </w:rPr>
        <w:t>⑧压力范围≥</w:t>
      </w:r>
      <w:r>
        <w:rPr>
          <w:rFonts w:ascii="宋体" w:hAnsi="宋体" w:cs="宋体"/>
          <w:bCs/>
          <w:szCs w:val="21"/>
        </w:rPr>
        <w:t>6</w:t>
      </w:r>
      <w:r>
        <w:rPr>
          <w:rFonts w:ascii="宋体" w:hAnsi="宋体" w:cs="宋体" w:hint="eastAsia"/>
          <w:bCs/>
          <w:szCs w:val="21"/>
        </w:rPr>
        <w:t>0MPa</w:t>
      </w:r>
    </w:p>
    <w:p w:rsidR="00CC6F83" w:rsidRDefault="00CC6F83" w:rsidP="00CC6F83"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、自动进样器</w:t>
      </w:r>
    </w:p>
    <w:p w:rsidR="00CC6F83" w:rsidRDefault="00CC6F83" w:rsidP="00CC6F83">
      <w:pPr>
        <w:spacing w:line="360" w:lineRule="auto"/>
        <w:rPr>
          <w:rFonts w:ascii="宋体" w:hAnsi="宋体" w:cs="宋体" w:hint="eastAsia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①进样方式：样品环进样，进样量可变式</w:t>
      </w:r>
    </w:p>
    <w:p w:rsidR="00CC6F83" w:rsidRDefault="00CC6F83" w:rsidP="00CC6F83">
      <w:pPr>
        <w:spacing w:line="360" w:lineRule="auto"/>
        <w:rPr>
          <w:rFonts w:ascii="宋体" w:hAnsi="宋体" w:cs="宋体" w:hint="eastAsia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②进样准确度≤±1%</w:t>
      </w:r>
    </w:p>
    <w:p w:rsidR="00CC6F83" w:rsidRDefault="00CC6F83" w:rsidP="00CC6F83">
      <w:pPr>
        <w:spacing w:line="360" w:lineRule="auto"/>
        <w:rPr>
          <w:rFonts w:ascii="宋体" w:hAnsi="宋体" w:cs="宋体" w:hint="eastAsia"/>
          <w:bCs/>
          <w:szCs w:val="21"/>
        </w:rPr>
      </w:pPr>
      <w:r w:rsidRPr="00A04FBD">
        <w:rPr>
          <w:rFonts w:ascii="宋体" w:hAnsi="宋体" w:cs="宋体" w:hint="eastAsia"/>
          <w:bCs/>
          <w:szCs w:val="21"/>
        </w:rPr>
        <w:t>▲</w:t>
      </w:r>
      <w:r>
        <w:rPr>
          <w:rFonts w:ascii="宋体" w:hAnsi="宋体" w:cs="宋体" w:hint="eastAsia"/>
          <w:bCs/>
          <w:szCs w:val="21"/>
        </w:rPr>
        <w:t>③交叉污染≤0</w:t>
      </w:r>
      <w:r>
        <w:rPr>
          <w:rFonts w:ascii="宋体" w:hAnsi="宋体" w:cs="宋体"/>
          <w:bCs/>
          <w:szCs w:val="21"/>
        </w:rPr>
        <w:t>.0015</w:t>
      </w:r>
      <w:r>
        <w:rPr>
          <w:rFonts w:ascii="宋体" w:hAnsi="宋体" w:cs="宋体" w:hint="eastAsia"/>
          <w:bCs/>
          <w:szCs w:val="21"/>
        </w:rPr>
        <w:t>%</w:t>
      </w:r>
    </w:p>
    <w:p w:rsidR="00CC6F83" w:rsidRDefault="00CC6F83" w:rsidP="00CC6F83">
      <w:pPr>
        <w:spacing w:line="360" w:lineRule="auto"/>
        <w:rPr>
          <w:rFonts w:ascii="宋体" w:hAnsi="宋体" w:cs="宋体" w:hint="eastAsia"/>
          <w:bCs/>
          <w:szCs w:val="21"/>
        </w:rPr>
      </w:pPr>
      <w:r w:rsidRPr="00A04FBD">
        <w:rPr>
          <w:rFonts w:ascii="宋体" w:hAnsi="宋体" w:cs="宋体" w:hint="eastAsia"/>
          <w:bCs/>
          <w:szCs w:val="21"/>
        </w:rPr>
        <w:t>▲</w:t>
      </w:r>
      <w:r>
        <w:rPr>
          <w:rFonts w:ascii="宋体" w:hAnsi="宋体" w:cs="宋体" w:hint="eastAsia"/>
          <w:bCs/>
          <w:szCs w:val="21"/>
        </w:rPr>
        <w:t>④进样精度：RSD &lt;0.2</w:t>
      </w:r>
      <w:r>
        <w:rPr>
          <w:rFonts w:ascii="宋体" w:hAnsi="宋体" w:cs="宋体"/>
          <w:bCs/>
          <w:szCs w:val="21"/>
        </w:rPr>
        <w:t>5</w:t>
      </w:r>
      <w:r>
        <w:rPr>
          <w:rFonts w:ascii="宋体" w:hAnsi="宋体" w:cs="宋体" w:hint="eastAsia"/>
          <w:bCs/>
          <w:szCs w:val="21"/>
        </w:rPr>
        <w:t xml:space="preserve">% </w:t>
      </w:r>
    </w:p>
    <w:p w:rsidR="00CC6F83" w:rsidRDefault="00CC6F83" w:rsidP="00CC6F83">
      <w:pPr>
        <w:spacing w:line="360" w:lineRule="auto"/>
        <w:rPr>
          <w:rFonts w:ascii="宋体" w:hAnsi="宋体" w:cs="宋体" w:hint="eastAsia"/>
          <w:bCs/>
          <w:szCs w:val="21"/>
        </w:rPr>
      </w:pPr>
      <w:r w:rsidRPr="00A04FBD">
        <w:rPr>
          <w:rFonts w:ascii="宋体" w:hAnsi="宋体" w:cs="宋体" w:hint="eastAsia"/>
          <w:bCs/>
          <w:szCs w:val="21"/>
        </w:rPr>
        <w:t>▲</w:t>
      </w:r>
      <w:r>
        <w:rPr>
          <w:rFonts w:ascii="宋体" w:hAnsi="宋体" w:cs="宋体" w:hint="eastAsia"/>
          <w:bCs/>
          <w:szCs w:val="21"/>
        </w:rPr>
        <w:t>⑤进样速度：最小10sec</w:t>
      </w:r>
    </w:p>
    <w:p w:rsidR="00CC6F83" w:rsidRDefault="00CC6F83" w:rsidP="00CC6F83">
      <w:pPr>
        <w:spacing w:line="360" w:lineRule="auto"/>
        <w:rPr>
          <w:rFonts w:ascii="宋体" w:hAnsi="宋体" w:cs="宋体" w:hint="eastAsia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⑥样品数量：10</w:t>
      </w:r>
      <w:r>
        <w:rPr>
          <w:rFonts w:ascii="宋体" w:hAnsi="宋体" w:cs="宋体"/>
          <w:bCs/>
          <w:szCs w:val="21"/>
        </w:rPr>
        <w:t>0</w:t>
      </w:r>
      <w:r>
        <w:rPr>
          <w:rFonts w:ascii="宋体" w:hAnsi="宋体" w:cs="宋体" w:hint="eastAsia"/>
          <w:bCs/>
          <w:szCs w:val="21"/>
        </w:rPr>
        <w:t>位以上</w:t>
      </w:r>
    </w:p>
    <w:p w:rsidR="00CC6F83" w:rsidRDefault="00CC6F83" w:rsidP="00CC6F83">
      <w:pPr>
        <w:rPr>
          <w:rFonts w:hint="eastAsia"/>
        </w:rPr>
      </w:pPr>
      <w:r>
        <w:rPr>
          <w:rFonts w:hint="eastAsia"/>
        </w:rPr>
        <w:t>4</w:t>
      </w:r>
      <w:r>
        <w:rPr>
          <w:rFonts w:hint="eastAsia"/>
        </w:rPr>
        <w:t>、柱温箱</w:t>
      </w:r>
    </w:p>
    <w:p w:rsidR="00CC6F83" w:rsidRDefault="00CC6F83" w:rsidP="00CC6F83">
      <w:pPr>
        <w:spacing w:line="360" w:lineRule="auto"/>
        <w:rPr>
          <w:rFonts w:ascii="宋体" w:hAnsi="宋体" w:cs="宋体" w:hint="eastAsia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①控温方式：强制风冷型，保证柱温箱内温度均一稳定。</w:t>
      </w:r>
    </w:p>
    <w:p w:rsidR="00CC6F83" w:rsidRDefault="00CC6F83" w:rsidP="00CC6F83">
      <w:pPr>
        <w:spacing w:line="360" w:lineRule="auto"/>
        <w:rPr>
          <w:rFonts w:ascii="宋体" w:hAnsi="宋体" w:cs="宋体"/>
          <w:bCs/>
          <w:szCs w:val="21"/>
        </w:rPr>
      </w:pPr>
      <w:r w:rsidRPr="00A04FBD">
        <w:rPr>
          <w:rFonts w:ascii="宋体" w:hAnsi="宋体" w:cs="宋体" w:hint="eastAsia"/>
          <w:bCs/>
          <w:szCs w:val="21"/>
        </w:rPr>
        <w:t>★</w:t>
      </w:r>
      <w:r>
        <w:rPr>
          <w:rFonts w:ascii="宋体" w:hAnsi="宋体" w:cs="宋体" w:hint="eastAsia"/>
          <w:bCs/>
          <w:szCs w:val="21"/>
        </w:rPr>
        <w:t>②温度控制范围: 4-40℃</w:t>
      </w:r>
    </w:p>
    <w:p w:rsidR="00CC6F83" w:rsidRDefault="00CC6F83" w:rsidP="00CC6F83">
      <w:pPr>
        <w:spacing w:line="360" w:lineRule="auto"/>
        <w:rPr>
          <w:rFonts w:ascii="宋体" w:hAnsi="宋体" w:cs="宋体" w:hint="eastAsia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③温度控制精度：±0.1℃</w:t>
      </w:r>
    </w:p>
    <w:p w:rsidR="00CC6F83" w:rsidRDefault="00CC6F83" w:rsidP="00CC6F83">
      <w:r>
        <w:rPr>
          <w:rFonts w:hint="eastAsia"/>
        </w:rPr>
        <w:t>5</w:t>
      </w:r>
      <w:r>
        <w:rPr>
          <w:rFonts w:hint="eastAsia"/>
        </w:rPr>
        <w:t>、紫外检测器</w:t>
      </w:r>
    </w:p>
    <w:p w:rsidR="00CC6F83" w:rsidRDefault="00CC6F83" w:rsidP="00CC6F83">
      <w:pPr>
        <w:spacing w:line="360" w:lineRule="auto"/>
        <w:rPr>
          <w:rFonts w:ascii="宋体" w:hAnsi="宋体" w:cs="宋体" w:hint="eastAsia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①波长设定范围: 190nm-700nm</w:t>
      </w:r>
    </w:p>
    <w:p w:rsidR="00CC6F83" w:rsidRDefault="00CC6F83" w:rsidP="00CC6F83">
      <w:pPr>
        <w:spacing w:line="360" w:lineRule="auto"/>
        <w:rPr>
          <w:rFonts w:ascii="宋体" w:hAnsi="宋体" w:cs="宋体" w:hint="eastAsia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②波长准确度：±1nm</w:t>
      </w:r>
    </w:p>
    <w:p w:rsidR="00CC6F83" w:rsidRDefault="00CC6F83" w:rsidP="00CC6F83">
      <w:pPr>
        <w:spacing w:line="360" w:lineRule="auto"/>
        <w:rPr>
          <w:rFonts w:ascii="宋体" w:hAnsi="宋体" w:cs="宋体" w:hint="eastAsia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③波长重现性：±0.1nm</w:t>
      </w:r>
    </w:p>
    <w:p w:rsidR="00CC6F83" w:rsidRDefault="00CC6F83" w:rsidP="00CC6F83">
      <w:pPr>
        <w:spacing w:line="360" w:lineRule="auto"/>
        <w:rPr>
          <w:rFonts w:ascii="宋体" w:hAnsi="宋体" w:cs="宋体" w:hint="eastAsia"/>
          <w:bCs/>
          <w:szCs w:val="21"/>
        </w:rPr>
      </w:pPr>
      <w:r w:rsidRPr="00A04FBD">
        <w:rPr>
          <w:rFonts w:ascii="宋体" w:hAnsi="宋体" w:cs="宋体" w:hint="eastAsia"/>
          <w:bCs/>
          <w:szCs w:val="21"/>
        </w:rPr>
        <w:t>▲</w:t>
      </w:r>
      <w:r>
        <w:rPr>
          <w:rFonts w:ascii="宋体" w:hAnsi="宋体" w:cs="宋体" w:hint="eastAsia"/>
          <w:bCs/>
          <w:szCs w:val="21"/>
        </w:rPr>
        <w:t>④噪声水平≤±0.25×10</w:t>
      </w:r>
      <w:r>
        <w:rPr>
          <w:rFonts w:ascii="宋体" w:hAnsi="宋体" w:cs="宋体" w:hint="eastAsia"/>
          <w:bCs/>
          <w:szCs w:val="21"/>
          <w:vertAlign w:val="superscript"/>
        </w:rPr>
        <w:t>-5</w:t>
      </w:r>
      <w:r>
        <w:rPr>
          <w:rFonts w:ascii="宋体" w:hAnsi="宋体" w:cs="宋体" w:hint="eastAsia"/>
          <w:bCs/>
          <w:szCs w:val="21"/>
        </w:rPr>
        <w:t xml:space="preserve"> AU</w:t>
      </w:r>
    </w:p>
    <w:p w:rsidR="00CC6F83" w:rsidRDefault="00CC6F83" w:rsidP="00CC6F83">
      <w:pPr>
        <w:spacing w:line="360" w:lineRule="auto"/>
        <w:rPr>
          <w:rFonts w:ascii="宋体" w:hAnsi="宋体" w:cs="宋体" w:hint="eastAsia"/>
          <w:bCs/>
          <w:szCs w:val="21"/>
        </w:rPr>
      </w:pPr>
      <w:r w:rsidRPr="00A04FBD">
        <w:rPr>
          <w:rFonts w:ascii="宋体" w:hAnsi="宋体" w:cs="宋体" w:hint="eastAsia"/>
          <w:bCs/>
          <w:szCs w:val="21"/>
        </w:rPr>
        <w:t>▲</w:t>
      </w:r>
      <w:r>
        <w:rPr>
          <w:rFonts w:ascii="宋体" w:hAnsi="宋体" w:cs="宋体" w:hint="eastAsia"/>
          <w:bCs/>
          <w:szCs w:val="21"/>
        </w:rPr>
        <w:t>⑤漂移≤±0.5×10</w:t>
      </w:r>
      <w:r>
        <w:rPr>
          <w:rFonts w:ascii="宋体" w:hAnsi="宋体" w:cs="宋体" w:hint="eastAsia"/>
          <w:bCs/>
          <w:szCs w:val="21"/>
          <w:vertAlign w:val="superscript"/>
        </w:rPr>
        <w:t>-4</w:t>
      </w:r>
      <w:r>
        <w:rPr>
          <w:rFonts w:ascii="宋体" w:hAnsi="宋体" w:cs="宋体" w:hint="eastAsia"/>
          <w:bCs/>
          <w:szCs w:val="21"/>
        </w:rPr>
        <w:t xml:space="preserve"> AU/h</w:t>
      </w:r>
    </w:p>
    <w:p w:rsidR="00CC6F83" w:rsidRDefault="00CC6F83" w:rsidP="00CC6F83">
      <w:pPr>
        <w:spacing w:line="360" w:lineRule="auto"/>
        <w:rPr>
          <w:rFonts w:ascii="宋体" w:hAnsi="宋体" w:cs="宋体" w:hint="eastAsia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⑥具有双波长功能</w:t>
      </w:r>
    </w:p>
    <w:p w:rsidR="00CC6F83" w:rsidRDefault="00CC6F83" w:rsidP="00CC6F83">
      <w:pPr>
        <w:spacing w:line="360" w:lineRule="auto"/>
        <w:rPr>
          <w:rFonts w:ascii="宋体" w:hAnsi="宋体" w:cs="宋体" w:hint="eastAsia"/>
          <w:bCs/>
          <w:szCs w:val="21"/>
        </w:rPr>
      </w:pPr>
      <w:r w:rsidRPr="00A04FBD">
        <w:rPr>
          <w:rFonts w:ascii="宋体" w:hAnsi="宋体" w:cs="宋体" w:hint="eastAsia"/>
          <w:bCs/>
          <w:szCs w:val="21"/>
        </w:rPr>
        <w:lastRenderedPageBreak/>
        <w:t>▲</w:t>
      </w:r>
      <w:r>
        <w:rPr>
          <w:rFonts w:ascii="宋体" w:hAnsi="宋体" w:cs="宋体" w:hint="eastAsia"/>
          <w:bCs/>
          <w:szCs w:val="21"/>
        </w:rPr>
        <w:t>⑦检测池功能：双波长检测、比例色谱（峰纯度）输出、停泵波长（UV）扫描、时间程序</w:t>
      </w:r>
    </w:p>
    <w:p w:rsidR="00CC6F83" w:rsidRPr="003E7AB1" w:rsidRDefault="00CC6F83" w:rsidP="00CC6F83">
      <w:pPr>
        <w:spacing w:line="360" w:lineRule="auto"/>
        <w:rPr>
          <w:rFonts w:ascii="宋体" w:hAnsi="宋体" w:cs="宋体" w:hint="eastAsia"/>
          <w:b/>
          <w:bCs/>
          <w:szCs w:val="21"/>
        </w:rPr>
      </w:pPr>
      <w:r w:rsidRPr="003E7AB1">
        <w:rPr>
          <w:rFonts w:ascii="宋体" w:hAnsi="宋体" w:cs="宋体" w:hint="eastAsia"/>
          <w:b/>
          <w:bCs/>
          <w:szCs w:val="21"/>
        </w:rPr>
        <w:t>（二）工作站要求</w:t>
      </w:r>
    </w:p>
    <w:p w:rsidR="00CC6F83" w:rsidRDefault="00CC6F83" w:rsidP="00CC6F83">
      <w:pPr>
        <w:spacing w:line="360" w:lineRule="auto"/>
        <w:rPr>
          <w:rFonts w:ascii="宋体" w:hAnsi="宋体" w:cs="宋体" w:hint="eastAsia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1、操作界面，方便友好，易于使用，工作站基于windows系统，数据传输基于主流的网络协议，确保数据真实可靠，符合</w:t>
      </w:r>
      <w:proofErr w:type="spellStart"/>
      <w:r>
        <w:rPr>
          <w:rFonts w:ascii="宋体" w:hAnsi="宋体" w:cs="宋体" w:hint="eastAsia"/>
          <w:bCs/>
          <w:szCs w:val="21"/>
        </w:rPr>
        <w:t>cGMP</w:t>
      </w:r>
      <w:proofErr w:type="spellEnd"/>
      <w:r>
        <w:rPr>
          <w:rFonts w:ascii="宋体" w:hAnsi="宋体" w:cs="宋体" w:hint="eastAsia"/>
          <w:bCs/>
          <w:szCs w:val="21"/>
        </w:rPr>
        <w:t>标准</w:t>
      </w:r>
    </w:p>
    <w:p w:rsidR="00CC6F83" w:rsidRDefault="00CC6F83" w:rsidP="00CC6F83">
      <w:pPr>
        <w:spacing w:line="360" w:lineRule="auto"/>
        <w:rPr>
          <w:rFonts w:ascii="宋体" w:hAnsi="宋体" w:cs="宋体" w:hint="eastAsia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2、可以使用同一厂家工作站控制所有可扩展部件（包括输液泵、检测器、柱后衍生等），进行数据采集和分析处理</w:t>
      </w:r>
    </w:p>
    <w:p w:rsidR="00CC6F83" w:rsidRPr="003E7AB1" w:rsidRDefault="00CC6F83" w:rsidP="00CC6F83">
      <w:pPr>
        <w:spacing w:line="360" w:lineRule="auto"/>
        <w:rPr>
          <w:rFonts w:ascii="宋体" w:hAnsi="宋体" w:cs="宋体" w:hint="eastAsia"/>
          <w:b/>
          <w:bCs/>
          <w:szCs w:val="21"/>
        </w:rPr>
      </w:pPr>
      <w:r w:rsidRPr="003E7AB1">
        <w:rPr>
          <w:rFonts w:ascii="宋体" w:hAnsi="宋体" w:cs="宋体" w:hint="eastAsia"/>
          <w:b/>
          <w:bCs/>
          <w:szCs w:val="21"/>
        </w:rPr>
        <w:t>（三）配置要求</w:t>
      </w:r>
    </w:p>
    <w:p w:rsidR="00CC6F83" w:rsidRDefault="00CC6F83" w:rsidP="00CC6F83">
      <w:pPr>
        <w:spacing w:line="360" w:lineRule="auto"/>
        <w:rPr>
          <w:rFonts w:ascii="宋体" w:hAnsi="宋体" w:cs="宋体" w:hint="eastAsia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1. 高灵敏度紫外检测器一套</w:t>
      </w:r>
    </w:p>
    <w:p w:rsidR="00CC6F83" w:rsidRDefault="00CC6F83" w:rsidP="00CC6F83">
      <w:pPr>
        <w:spacing w:line="360" w:lineRule="auto"/>
        <w:rPr>
          <w:rFonts w:ascii="宋体" w:hAnsi="宋体" w:cs="宋体" w:hint="eastAsia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2. 大体积柱温箱一套</w:t>
      </w:r>
    </w:p>
    <w:p w:rsidR="00CC6F83" w:rsidRDefault="00CC6F83" w:rsidP="00CC6F83">
      <w:pPr>
        <w:spacing w:line="360" w:lineRule="auto"/>
        <w:rPr>
          <w:rFonts w:ascii="宋体" w:hAnsi="宋体" w:cs="宋体" w:hint="eastAsia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3. 带制冷自动进样器一套</w:t>
      </w:r>
    </w:p>
    <w:p w:rsidR="00CC6F83" w:rsidRDefault="00CC6F83" w:rsidP="00CC6F83">
      <w:pPr>
        <w:spacing w:line="360" w:lineRule="auto"/>
        <w:rPr>
          <w:rFonts w:ascii="宋体" w:hAnsi="宋体" w:cs="宋体" w:hint="eastAsia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4. 四元低压梯度系统一套</w:t>
      </w:r>
    </w:p>
    <w:p w:rsidR="00CC6F83" w:rsidRDefault="00CC6F83" w:rsidP="00CC6F83">
      <w:pPr>
        <w:spacing w:line="360" w:lineRule="auto"/>
        <w:rPr>
          <w:rFonts w:ascii="宋体" w:hAnsi="宋体" w:cs="宋体" w:hint="eastAsia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5. 中英文工作站一套</w:t>
      </w:r>
    </w:p>
    <w:p w:rsidR="00CC6F83" w:rsidRDefault="00CC6F83" w:rsidP="00CC6F83">
      <w:pPr>
        <w:spacing w:line="360" w:lineRule="auto"/>
        <w:rPr>
          <w:rFonts w:ascii="宋体" w:hAnsi="宋体" w:cs="宋体" w:hint="eastAsia"/>
          <w:bCs/>
          <w:szCs w:val="21"/>
        </w:rPr>
      </w:pPr>
      <w:r>
        <w:rPr>
          <w:rFonts w:ascii="宋体" w:hAnsi="宋体" w:cs="宋体" w:hint="eastAsia"/>
          <w:bCs/>
          <w:szCs w:val="21"/>
        </w:rPr>
        <w:t>6. 色谱柱、保护柱一套</w:t>
      </w:r>
    </w:p>
    <w:p w:rsidR="00CC6F83" w:rsidRDefault="00CC6F83" w:rsidP="00CC6F83">
      <w:pPr>
        <w:rPr>
          <w:rFonts w:ascii="仿宋_GB2312" w:eastAsia="仿宋_GB2312" w:hint="eastAsia"/>
          <w:b/>
          <w:sz w:val="24"/>
        </w:rPr>
      </w:pPr>
    </w:p>
    <w:p w:rsidR="00CC6F83" w:rsidRPr="00B634D8" w:rsidRDefault="00CC6F83" w:rsidP="00CC6F83">
      <w:pPr>
        <w:ind w:firstLineChars="100" w:firstLine="241"/>
        <w:rPr>
          <w:rFonts w:ascii="仿宋_GB2312" w:eastAsia="仿宋_GB2312"/>
          <w:b/>
          <w:sz w:val="24"/>
        </w:rPr>
      </w:pPr>
      <w:r w:rsidRPr="00B634D8">
        <w:rPr>
          <w:rFonts w:ascii="仿宋_GB2312" w:eastAsia="仿宋_GB2312" w:hint="eastAsia"/>
          <w:b/>
          <w:sz w:val="24"/>
        </w:rPr>
        <w:t>注意事项：</w:t>
      </w:r>
    </w:p>
    <w:p w:rsidR="00CC6F83" w:rsidRPr="00B634D8" w:rsidRDefault="00CC6F83" w:rsidP="00CC6F83">
      <w:pPr>
        <w:ind w:leftChars="134" w:left="281" w:firstLineChars="200" w:firstLine="482"/>
        <w:rPr>
          <w:rFonts w:ascii="仿宋_GB2312" w:eastAsia="仿宋_GB2312"/>
          <w:b/>
          <w:sz w:val="24"/>
        </w:rPr>
      </w:pPr>
      <w:r w:rsidRPr="00B634D8">
        <w:rPr>
          <w:rFonts w:ascii="仿宋_GB2312" w:eastAsia="仿宋_GB2312" w:hint="eastAsia"/>
          <w:b/>
          <w:sz w:val="24"/>
        </w:rPr>
        <w:t>1、招标人提供的</w:t>
      </w:r>
      <w:r w:rsidRPr="00B634D8">
        <w:rPr>
          <w:rFonts w:ascii="仿宋_GB2312" w:eastAsia="仿宋_GB2312" w:hAnsi="宋体" w:hint="eastAsia"/>
          <w:b/>
          <w:sz w:val="24"/>
        </w:rPr>
        <w:t>清单中材料所涉及品牌或型号（如有），</w:t>
      </w:r>
      <w:r w:rsidRPr="00B634D8">
        <w:rPr>
          <w:rFonts w:ascii="仿宋_GB2312" w:eastAsia="仿宋_GB2312" w:hint="eastAsia"/>
          <w:b/>
          <w:sz w:val="24"/>
        </w:rPr>
        <w:t>仅供投标人参考。投标人在投标时可以选用其它品牌，但所选用的品牌产品要在实质上相当于或不低于</w:t>
      </w:r>
      <w:r w:rsidRPr="00B634D8">
        <w:rPr>
          <w:rFonts w:ascii="仿宋_GB2312" w:eastAsia="仿宋_GB2312" w:hAnsi="宋体" w:hint="eastAsia"/>
          <w:b/>
          <w:sz w:val="24"/>
        </w:rPr>
        <w:t>参照品牌</w:t>
      </w:r>
      <w:r w:rsidRPr="00B634D8">
        <w:rPr>
          <w:rFonts w:ascii="仿宋_GB2312" w:eastAsia="仿宋_GB2312" w:hint="eastAsia"/>
          <w:b/>
          <w:sz w:val="24"/>
        </w:rPr>
        <w:t>技术性能的要求，并且使采购人满意。</w:t>
      </w:r>
    </w:p>
    <w:p w:rsidR="00CC6F83" w:rsidRPr="00B634D8" w:rsidRDefault="00CC6F83" w:rsidP="00CC6F83">
      <w:pPr>
        <w:ind w:leftChars="134" w:left="281" w:firstLineChars="200" w:firstLine="482"/>
        <w:rPr>
          <w:rFonts w:ascii="仿宋_GB2312" w:eastAsia="仿宋_GB2312" w:hAnsi="宋体"/>
          <w:b/>
          <w:sz w:val="24"/>
        </w:rPr>
      </w:pPr>
      <w:r w:rsidRPr="00B634D8">
        <w:rPr>
          <w:rFonts w:ascii="仿宋_GB2312" w:eastAsia="仿宋_GB2312" w:hint="eastAsia"/>
          <w:b/>
          <w:sz w:val="24"/>
        </w:rPr>
        <w:t>2、</w:t>
      </w:r>
      <w:r w:rsidRPr="00B634D8">
        <w:rPr>
          <w:rFonts w:ascii="仿宋_GB2312" w:eastAsia="仿宋_GB2312" w:hAnsi="宋体" w:hint="eastAsia"/>
          <w:b/>
          <w:sz w:val="24"/>
        </w:rPr>
        <w:t>提供相同品牌产品且通过资格审查、符合性审查的不同投标人参加同一合同项下投标的，按一家投标人计算，评审后得分最高的同品牌投标人获得中标人推荐资格;评审得分相同的，以投标报价最低的获得中标人推荐资格。</w:t>
      </w:r>
    </w:p>
    <w:p w:rsidR="00CC6F83" w:rsidRDefault="00CC6F83" w:rsidP="00CC6F83">
      <w:pPr>
        <w:ind w:leftChars="134" w:left="281" w:firstLineChars="200" w:firstLine="482"/>
        <w:rPr>
          <w:rFonts w:ascii="仿宋_GB2312" w:eastAsia="仿宋_GB2312" w:hint="eastAsia"/>
          <w:b/>
          <w:sz w:val="24"/>
        </w:rPr>
      </w:pPr>
      <w:r w:rsidRPr="00B634D8">
        <w:rPr>
          <w:rFonts w:ascii="仿宋_GB2312" w:eastAsia="仿宋_GB2312" w:hint="eastAsia"/>
          <w:b/>
          <w:sz w:val="24"/>
        </w:rPr>
        <w:t>3、非单一产品采购项目，采购人应当根据采购项目技术构成、产品价格比重等合理确定核心产品，并在招标文件中载明。多家投标人提供的全部核心产品品牌相同的，按第2条款规定处理。</w:t>
      </w:r>
    </w:p>
    <w:p w:rsidR="00CC6F83" w:rsidRPr="00CC6F83" w:rsidRDefault="00CC6F83" w:rsidP="00CC6F83"/>
    <w:sectPr w:rsidR="00CC6F83" w:rsidRPr="00CC6F83" w:rsidSect="008743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0E32" w:rsidRDefault="00F10E32" w:rsidP="001E2248">
      <w:r>
        <w:separator/>
      </w:r>
    </w:p>
  </w:endnote>
  <w:endnote w:type="continuationSeparator" w:id="0">
    <w:p w:rsidR="00F10E32" w:rsidRDefault="00F10E32" w:rsidP="001E22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0E32" w:rsidRDefault="00F10E32" w:rsidP="001E2248">
      <w:r>
        <w:separator/>
      </w:r>
    </w:p>
  </w:footnote>
  <w:footnote w:type="continuationSeparator" w:id="0">
    <w:p w:rsidR="00F10E32" w:rsidRDefault="00F10E32" w:rsidP="001E22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lvl w:ilvl="0">
      <w:start w:val="1"/>
      <w:numFmt w:val="japaneseCounting"/>
      <w:lvlText w:val="%1、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000001D"/>
    <w:multiLevelType w:val="multilevel"/>
    <w:tmpl w:val="0000001D"/>
    <w:lvl w:ilvl="0">
      <w:start w:val="1"/>
      <w:numFmt w:val="chineseCountingThousand"/>
      <w:lvlText w:val="(%1)"/>
      <w:lvlJc w:val="left"/>
      <w:pPr>
        <w:ind w:left="987" w:hanging="420"/>
      </w:pPr>
    </w:lvl>
    <w:lvl w:ilvl="1">
      <w:start w:val="1"/>
      <w:numFmt w:val="lowerLetter"/>
      <w:lvlText w:val="%2)"/>
      <w:lvlJc w:val="left"/>
      <w:pPr>
        <w:ind w:left="1312" w:hanging="420"/>
      </w:pPr>
    </w:lvl>
    <w:lvl w:ilvl="2">
      <w:start w:val="1"/>
      <w:numFmt w:val="lowerRoman"/>
      <w:lvlText w:val="%3."/>
      <w:lvlJc w:val="right"/>
      <w:pPr>
        <w:ind w:left="1732" w:hanging="420"/>
      </w:pPr>
    </w:lvl>
    <w:lvl w:ilvl="3">
      <w:start w:val="1"/>
      <w:numFmt w:val="decimal"/>
      <w:lvlText w:val="%4."/>
      <w:lvlJc w:val="left"/>
      <w:pPr>
        <w:ind w:left="2152" w:hanging="420"/>
      </w:pPr>
    </w:lvl>
    <w:lvl w:ilvl="4">
      <w:start w:val="1"/>
      <w:numFmt w:val="lowerLetter"/>
      <w:lvlText w:val="%5)"/>
      <w:lvlJc w:val="left"/>
      <w:pPr>
        <w:ind w:left="2572" w:hanging="420"/>
      </w:pPr>
    </w:lvl>
    <w:lvl w:ilvl="5">
      <w:start w:val="1"/>
      <w:numFmt w:val="lowerRoman"/>
      <w:lvlText w:val="%6."/>
      <w:lvlJc w:val="right"/>
      <w:pPr>
        <w:ind w:left="2992" w:hanging="420"/>
      </w:pPr>
    </w:lvl>
    <w:lvl w:ilvl="6">
      <w:start w:val="1"/>
      <w:numFmt w:val="decimal"/>
      <w:lvlText w:val="%7."/>
      <w:lvlJc w:val="left"/>
      <w:pPr>
        <w:ind w:left="3412" w:hanging="420"/>
      </w:pPr>
    </w:lvl>
    <w:lvl w:ilvl="7">
      <w:start w:val="1"/>
      <w:numFmt w:val="lowerLetter"/>
      <w:lvlText w:val="%8)"/>
      <w:lvlJc w:val="left"/>
      <w:pPr>
        <w:ind w:left="3832" w:hanging="420"/>
      </w:pPr>
    </w:lvl>
    <w:lvl w:ilvl="8">
      <w:start w:val="1"/>
      <w:numFmt w:val="lowerRoman"/>
      <w:lvlText w:val="%9."/>
      <w:lvlJc w:val="right"/>
      <w:pPr>
        <w:ind w:left="4252" w:hanging="420"/>
      </w:pPr>
    </w:lvl>
  </w:abstractNum>
  <w:abstractNum w:abstractNumId="2">
    <w:nsid w:val="183C6612"/>
    <w:multiLevelType w:val="multilevel"/>
    <w:tmpl w:val="B14AFDE0"/>
    <w:lvl w:ilvl="0">
      <w:start w:val="1"/>
      <w:numFmt w:val="chineseCountingThousand"/>
      <w:lvlText w:val="(%1)"/>
      <w:lvlJc w:val="left"/>
      <w:pPr>
        <w:ind w:left="987" w:hanging="420"/>
      </w:pPr>
    </w:lvl>
    <w:lvl w:ilvl="1">
      <w:start w:val="1"/>
      <w:numFmt w:val="lowerLetter"/>
      <w:lvlText w:val="%2)"/>
      <w:lvlJc w:val="left"/>
      <w:pPr>
        <w:ind w:left="1312" w:hanging="420"/>
      </w:pPr>
    </w:lvl>
    <w:lvl w:ilvl="2">
      <w:start w:val="1"/>
      <w:numFmt w:val="lowerRoman"/>
      <w:lvlText w:val="%3."/>
      <w:lvlJc w:val="right"/>
      <w:pPr>
        <w:ind w:left="1732" w:hanging="420"/>
      </w:pPr>
    </w:lvl>
    <w:lvl w:ilvl="3">
      <w:start w:val="1"/>
      <w:numFmt w:val="decimal"/>
      <w:lvlText w:val="%4."/>
      <w:lvlJc w:val="left"/>
      <w:pPr>
        <w:ind w:left="2152" w:hanging="420"/>
      </w:pPr>
    </w:lvl>
    <w:lvl w:ilvl="4">
      <w:start w:val="1"/>
      <w:numFmt w:val="lowerLetter"/>
      <w:lvlText w:val="%5)"/>
      <w:lvlJc w:val="left"/>
      <w:pPr>
        <w:ind w:left="2572" w:hanging="420"/>
      </w:pPr>
    </w:lvl>
    <w:lvl w:ilvl="5">
      <w:start w:val="1"/>
      <w:numFmt w:val="lowerRoman"/>
      <w:lvlText w:val="%6."/>
      <w:lvlJc w:val="right"/>
      <w:pPr>
        <w:ind w:left="2992" w:hanging="420"/>
      </w:pPr>
    </w:lvl>
    <w:lvl w:ilvl="6">
      <w:start w:val="1"/>
      <w:numFmt w:val="decimal"/>
      <w:lvlText w:val="%7."/>
      <w:lvlJc w:val="left"/>
      <w:pPr>
        <w:ind w:left="3412" w:hanging="420"/>
      </w:pPr>
    </w:lvl>
    <w:lvl w:ilvl="7">
      <w:start w:val="1"/>
      <w:numFmt w:val="lowerLetter"/>
      <w:lvlText w:val="%8)"/>
      <w:lvlJc w:val="left"/>
      <w:pPr>
        <w:ind w:left="3832" w:hanging="420"/>
      </w:pPr>
    </w:lvl>
    <w:lvl w:ilvl="8">
      <w:start w:val="1"/>
      <w:numFmt w:val="lowerRoman"/>
      <w:lvlText w:val="%9."/>
      <w:lvlJc w:val="right"/>
      <w:pPr>
        <w:ind w:left="4252" w:hanging="420"/>
      </w:pPr>
    </w:lvl>
  </w:abstractNum>
  <w:abstractNum w:abstractNumId="3">
    <w:nsid w:val="5A1B0CDE"/>
    <w:multiLevelType w:val="multilevel"/>
    <w:tmpl w:val="5A1B0CDE"/>
    <w:lvl w:ilvl="0">
      <w:start w:val="1"/>
      <w:numFmt w:val="decimal"/>
      <w:lvlText w:val="%1、"/>
      <w:lvlJc w:val="left"/>
      <w:pPr>
        <w:tabs>
          <w:tab w:val="left" w:pos="1080"/>
        </w:tabs>
        <w:ind w:left="108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B5F702E"/>
    <w:multiLevelType w:val="multilevel"/>
    <w:tmpl w:val="6B5F702E"/>
    <w:lvl w:ilvl="0">
      <w:start w:val="1"/>
      <w:numFmt w:val="chineseCountingThousand"/>
      <w:lvlText w:val="(%1)"/>
      <w:lvlJc w:val="left"/>
      <w:pPr>
        <w:ind w:left="892" w:hanging="42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312" w:hanging="420"/>
      </w:pPr>
    </w:lvl>
    <w:lvl w:ilvl="2">
      <w:start w:val="1"/>
      <w:numFmt w:val="lowerRoman"/>
      <w:lvlText w:val="%3."/>
      <w:lvlJc w:val="right"/>
      <w:pPr>
        <w:ind w:left="1732" w:hanging="420"/>
      </w:pPr>
    </w:lvl>
    <w:lvl w:ilvl="3">
      <w:start w:val="1"/>
      <w:numFmt w:val="decimal"/>
      <w:lvlText w:val="%4."/>
      <w:lvlJc w:val="left"/>
      <w:pPr>
        <w:ind w:left="2152" w:hanging="420"/>
      </w:pPr>
    </w:lvl>
    <w:lvl w:ilvl="4">
      <w:start w:val="1"/>
      <w:numFmt w:val="lowerLetter"/>
      <w:lvlText w:val="%5)"/>
      <w:lvlJc w:val="left"/>
      <w:pPr>
        <w:ind w:left="2572" w:hanging="420"/>
      </w:pPr>
    </w:lvl>
    <w:lvl w:ilvl="5">
      <w:start w:val="1"/>
      <w:numFmt w:val="lowerRoman"/>
      <w:lvlText w:val="%6."/>
      <w:lvlJc w:val="right"/>
      <w:pPr>
        <w:ind w:left="2992" w:hanging="420"/>
      </w:pPr>
    </w:lvl>
    <w:lvl w:ilvl="6">
      <w:start w:val="1"/>
      <w:numFmt w:val="decimal"/>
      <w:lvlText w:val="%7."/>
      <w:lvlJc w:val="left"/>
      <w:pPr>
        <w:ind w:left="3412" w:hanging="420"/>
      </w:pPr>
    </w:lvl>
    <w:lvl w:ilvl="7">
      <w:start w:val="1"/>
      <w:numFmt w:val="lowerLetter"/>
      <w:lvlText w:val="%8)"/>
      <w:lvlJc w:val="left"/>
      <w:pPr>
        <w:ind w:left="3832" w:hanging="420"/>
      </w:pPr>
    </w:lvl>
    <w:lvl w:ilvl="8">
      <w:start w:val="1"/>
      <w:numFmt w:val="lowerRoman"/>
      <w:lvlText w:val="%9."/>
      <w:lvlJc w:val="right"/>
      <w:pPr>
        <w:ind w:left="4252" w:hanging="420"/>
      </w:pPr>
    </w:lvl>
  </w:abstractNum>
  <w:abstractNum w:abstractNumId="5">
    <w:nsid w:val="71466655"/>
    <w:multiLevelType w:val="hybridMultilevel"/>
    <w:tmpl w:val="2B56DE0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22828"/>
    <w:rsid w:val="000954BB"/>
    <w:rsid w:val="000D34E1"/>
    <w:rsid w:val="001E2248"/>
    <w:rsid w:val="007D1345"/>
    <w:rsid w:val="008327AC"/>
    <w:rsid w:val="008743AE"/>
    <w:rsid w:val="00B22828"/>
    <w:rsid w:val="00B52784"/>
    <w:rsid w:val="00CC6F83"/>
    <w:rsid w:val="00F10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82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E224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B22828"/>
    <w:pPr>
      <w:keepNext/>
      <w:keepLines/>
      <w:spacing w:before="260" w:after="260" w:line="415" w:lineRule="auto"/>
      <w:outlineLvl w:val="2"/>
    </w:pPr>
    <w:rPr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rsid w:val="00B22828"/>
    <w:rPr>
      <w:rFonts w:ascii="Times New Roman" w:eastAsia="宋体" w:hAnsi="Times New Roman" w:cs="Times New Roman"/>
      <w:b/>
      <w:bCs/>
      <w:kern w:val="0"/>
      <w:sz w:val="32"/>
      <w:szCs w:val="32"/>
    </w:rPr>
  </w:style>
  <w:style w:type="paragraph" w:styleId="a3">
    <w:name w:val="Document Map"/>
    <w:basedOn w:val="a"/>
    <w:link w:val="Char"/>
    <w:uiPriority w:val="99"/>
    <w:semiHidden/>
    <w:unhideWhenUsed/>
    <w:rsid w:val="00B22828"/>
    <w:rPr>
      <w:rFonts w:ascii="宋体"/>
      <w:sz w:val="18"/>
      <w:szCs w:val="18"/>
    </w:rPr>
  </w:style>
  <w:style w:type="character" w:customStyle="1" w:styleId="Char">
    <w:name w:val="文档结构图 Char"/>
    <w:basedOn w:val="a0"/>
    <w:link w:val="a3"/>
    <w:uiPriority w:val="99"/>
    <w:semiHidden/>
    <w:rsid w:val="00B22828"/>
    <w:rPr>
      <w:rFonts w:ascii="宋体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1E22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1E2248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1E22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1E2248"/>
    <w:rPr>
      <w:rFonts w:ascii="Times New Roman" w:eastAsia="宋体" w:hAnsi="Times New Roman" w:cs="Times New Roman"/>
      <w:sz w:val="18"/>
      <w:szCs w:val="18"/>
    </w:rPr>
  </w:style>
  <w:style w:type="character" w:customStyle="1" w:styleId="2Char">
    <w:name w:val="标题 2 Char"/>
    <w:basedOn w:val="a0"/>
    <w:link w:val="2"/>
    <w:uiPriority w:val="9"/>
    <w:semiHidden/>
    <w:rsid w:val="001E224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6">
    <w:name w:val="Body Text"/>
    <w:basedOn w:val="a"/>
    <w:link w:val="Char10"/>
    <w:uiPriority w:val="99"/>
    <w:unhideWhenUsed/>
    <w:qFormat/>
    <w:rsid w:val="001E2248"/>
    <w:pPr>
      <w:spacing w:after="120"/>
    </w:pPr>
    <w:rPr>
      <w:rFonts w:eastAsiaTheme="minorEastAsia" w:cstheme="minorBidi"/>
    </w:rPr>
  </w:style>
  <w:style w:type="character" w:customStyle="1" w:styleId="Char2">
    <w:name w:val="正文文本 Char"/>
    <w:basedOn w:val="a0"/>
    <w:link w:val="a6"/>
    <w:uiPriority w:val="99"/>
    <w:semiHidden/>
    <w:rsid w:val="001E2248"/>
    <w:rPr>
      <w:rFonts w:ascii="Times New Roman" w:eastAsia="宋体" w:hAnsi="Times New Roman" w:cs="Times New Roman"/>
      <w:szCs w:val="24"/>
    </w:rPr>
  </w:style>
  <w:style w:type="table" w:styleId="a7">
    <w:name w:val="Table Grid"/>
    <w:basedOn w:val="a1"/>
    <w:uiPriority w:val="59"/>
    <w:qFormat/>
    <w:rsid w:val="001E2248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0">
    <w:name w:val="正文文本 Char1"/>
    <w:basedOn w:val="a0"/>
    <w:link w:val="a6"/>
    <w:uiPriority w:val="99"/>
    <w:qFormat/>
    <w:rsid w:val="001E2248"/>
    <w:rPr>
      <w:rFonts w:ascii="Times New Roman" w:hAnsi="Times New Roman"/>
      <w:szCs w:val="24"/>
    </w:rPr>
  </w:style>
  <w:style w:type="paragraph" w:styleId="a8">
    <w:name w:val="List Paragraph"/>
    <w:basedOn w:val="a"/>
    <w:uiPriority w:val="34"/>
    <w:qFormat/>
    <w:rsid w:val="001E2248"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273</Words>
  <Characters>1557</Characters>
  <Application>Microsoft Office Word</Application>
  <DocSecurity>0</DocSecurity>
  <Lines>12</Lines>
  <Paragraphs>3</Paragraphs>
  <ScaleCrop>false</ScaleCrop>
  <Company>china</Company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2021-04-02T06:04:00Z</dcterms:created>
  <dcterms:modified xsi:type="dcterms:W3CDTF">2021-09-10T08:37:00Z</dcterms:modified>
</cp:coreProperties>
</file>